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A70D2D" w:rsidR="00AC68B4" w:rsidP="00A70D2D" w:rsidRDefault="00AC68B4" w14:paraId="5BF77038" w14:textId="32FDD771">
      <w:pPr>
        <w:jc w:val="right"/>
        <w:rPr>
          <w:b/>
          <w:bCs/>
        </w:rPr>
      </w:pPr>
      <w:r w:rsidRPr="00AC68B4">
        <w:rPr>
          <w:b/>
          <w:bCs/>
          <w:noProof/>
        </w:rPr>
        <mc:AlternateContent>
          <mc:Choice Requires="wps">
            <w:drawing>
              <wp:anchor distT="0" distB="0" distL="114300" distR="114300" simplePos="0" relativeHeight="251659264" behindDoc="0" locked="0" layoutInCell="1" allowOverlap="1" wp14:anchorId="2183F041" wp14:editId="49502E1B">
                <wp:simplePos x="0" y="0"/>
                <wp:positionH relativeFrom="column">
                  <wp:posOffset>0</wp:posOffset>
                </wp:positionH>
                <wp:positionV relativeFrom="paragraph">
                  <wp:posOffset>-180340</wp:posOffset>
                </wp:positionV>
                <wp:extent cx="6451600" cy="25400"/>
                <wp:effectExtent l="0" t="0" r="25400" b="31750"/>
                <wp:wrapNone/>
                <wp:docPr id="625770939" name="Straight Connector 1"/>
                <wp:cNvGraphicFramePr/>
                <a:graphic xmlns:a="http://schemas.openxmlformats.org/drawingml/2006/main">
                  <a:graphicData uri="http://schemas.microsoft.com/office/word/2010/wordprocessingShape">
                    <wps:wsp>
                      <wps:cNvCnPr/>
                      <wps:spPr>
                        <a:xfrm>
                          <a:off x="0" y="0"/>
                          <a:ext cx="64516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0,-14.2pt" to="508pt,-12.2pt" w14:anchorId="3516E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"/>
            </w:pict>
          </mc:Fallback>
        </mc:AlternateContent>
      </w:r>
      <w:r w:rsidR="00FC7110">
        <w:rPr>
          <w:b/>
          <w:bCs/>
        </w:rPr>
        <w:t>February</w:t>
      </w:r>
      <w:r w:rsidR="00E50C67">
        <w:rPr>
          <w:b/>
          <w:bCs/>
        </w:rPr>
        <w:t xml:space="preserve"> </w:t>
      </w:r>
      <w:r w:rsidRPr="00AC68B4">
        <w:rPr>
          <w:b/>
          <w:bCs/>
        </w:rPr>
        <w:t>202</w:t>
      </w:r>
      <w:r w:rsidR="00FC7110">
        <w:rPr>
          <w:b/>
          <w:bCs/>
        </w:rPr>
        <w:t>5</w:t>
      </w:r>
    </w:p>
    <w:p w:rsidRPr="001D5921" w:rsidR="00AC68B4" w:rsidP="00AC68B4" w:rsidRDefault="00AC68B4" w14:paraId="42F6F4D2" w14:textId="74190A30">
      <w:pPr>
        <w:keepNext/>
        <w:keepLines/>
        <w:widowControl/>
        <w:autoSpaceDE/>
        <w:autoSpaceDN/>
        <w:spacing w:before="40" w:line="276" w:lineRule="auto"/>
        <w:outlineLvl w:val="2"/>
        <w:rPr>
          <w:rFonts w:asciiTheme="minorHAnsi" w:hAnsiTheme="minorHAnsi" w:cstheme="minorHAnsi"/>
          <w:b/>
          <w:bCs/>
          <w:sz w:val="28"/>
          <w:szCs w:val="28"/>
        </w:rPr>
      </w:pPr>
      <w:bookmarkStart w:name="_Toc9512041" w:id="0"/>
      <w:r w:rsidRPr="001D5921">
        <w:rPr>
          <w:rFonts w:asciiTheme="minorHAnsi" w:hAnsiTheme="minorHAnsi" w:cstheme="minorHAnsi"/>
          <w:b/>
          <w:bCs/>
          <w:sz w:val="28"/>
          <w:szCs w:val="28"/>
        </w:rPr>
        <w:t>ICBA Regulatory Update: Bank</w:t>
      </w:r>
      <w:r w:rsidRPr="001D5921" w:rsidR="009F707D">
        <w:rPr>
          <w:rFonts w:asciiTheme="minorHAnsi" w:hAnsiTheme="minorHAnsi" w:cstheme="minorHAnsi"/>
          <w:b/>
          <w:bCs/>
          <w:sz w:val="28"/>
          <w:szCs w:val="28"/>
        </w:rPr>
        <w:t>/Deposit Account</w:t>
      </w:r>
      <w:r w:rsidRPr="001D5921">
        <w:rPr>
          <w:rFonts w:asciiTheme="minorHAnsi" w:hAnsiTheme="minorHAnsi" w:cstheme="minorHAnsi"/>
          <w:b/>
          <w:bCs/>
          <w:sz w:val="28"/>
          <w:szCs w:val="28"/>
        </w:rPr>
        <w:t xml:space="preserve"> Fees</w:t>
      </w:r>
      <w:bookmarkStart w:name="_Toc9512043" w:id="1"/>
      <w:bookmarkEnd w:id="0"/>
    </w:p>
    <w:p w:rsidRPr="001D5921" w:rsidR="00AC68B4" w:rsidP="00AC68B4" w:rsidRDefault="00AC68B4" w14:paraId="00FC5AAE" w14:textId="77777777">
      <w:pPr>
        <w:keepNext/>
        <w:keepLines/>
        <w:widowControl/>
        <w:autoSpaceDE/>
        <w:autoSpaceDN/>
        <w:spacing w:before="40" w:line="276" w:lineRule="auto"/>
        <w:outlineLvl w:val="2"/>
        <w:rPr>
          <w:rFonts w:asciiTheme="minorHAnsi" w:hAnsiTheme="minorHAnsi" w:cstheme="minorHAnsi"/>
        </w:rPr>
      </w:pPr>
    </w:p>
    <w:p w:rsidRPr="0051733E" w:rsidR="00AC68B4" w:rsidP="004F73EB" w:rsidRDefault="00AC68B4" w14:paraId="24059CB3" w14:textId="02BED773">
      <w:pPr>
        <w:keepNext/>
        <w:keepLines/>
        <w:widowControl/>
        <w:autoSpaceDE/>
        <w:autoSpaceDN/>
        <w:spacing w:line="276" w:lineRule="auto"/>
        <w:outlineLvl w:val="2"/>
        <w:rPr>
          <w:rStyle w:val="Heading3Char"/>
          <w:rFonts w:asciiTheme="minorHAnsi" w:hAnsiTheme="minorHAnsi" w:cstheme="minorHAnsi"/>
          <w:b w:val="0"/>
          <w:bCs w:val="0"/>
          <w:color w:val="auto"/>
          <w:sz w:val="24"/>
          <w:szCs w:val="24"/>
          <w:lang w:bidi="ar-SA"/>
        </w:rPr>
      </w:pPr>
      <w:r w:rsidRPr="0051733E">
        <w:rPr>
          <w:rStyle w:val="Heading3Char"/>
          <w:rFonts w:asciiTheme="minorHAnsi" w:hAnsiTheme="minorHAnsi" w:cstheme="minorHAnsi"/>
          <w:color w:val="auto"/>
          <w:sz w:val="24"/>
          <w:szCs w:val="24"/>
          <w:lang w:bidi="ar-SA"/>
        </w:rPr>
        <w:t>Topic/Issue:</w:t>
      </w:r>
      <w:r w:rsidRPr="0051733E">
        <w:rPr>
          <w:rStyle w:val="Heading3Char"/>
          <w:rFonts w:asciiTheme="minorHAnsi" w:hAnsiTheme="minorHAnsi" w:cstheme="minorHAnsi"/>
          <w:color w:val="auto"/>
          <w:sz w:val="24"/>
          <w:szCs w:val="24"/>
          <w:lang w:bidi="ar-SA"/>
        </w:rPr>
        <w:tab/>
      </w:r>
      <w:r w:rsidRPr="0051733E" w:rsidR="009F707D">
        <w:rPr>
          <w:rStyle w:val="Heading3Char"/>
          <w:rFonts w:asciiTheme="minorHAnsi" w:hAnsiTheme="minorHAnsi" w:cstheme="minorHAnsi"/>
          <w:b w:val="0"/>
          <w:bCs w:val="0"/>
          <w:color w:val="auto"/>
          <w:sz w:val="24"/>
          <w:szCs w:val="24"/>
          <w:lang w:bidi="ar-SA"/>
        </w:rPr>
        <w:t>Deposit Account Fees</w:t>
      </w:r>
    </w:p>
    <w:p w:rsidRPr="0051733E" w:rsidR="00AC68B4" w:rsidP="004F73EB" w:rsidRDefault="00AC68B4" w14:paraId="06593F2B" w14:textId="09326C06">
      <w:pPr>
        <w:keepNext/>
        <w:keepLines/>
        <w:widowControl/>
        <w:autoSpaceDE/>
        <w:autoSpaceDN/>
        <w:spacing w:line="276" w:lineRule="auto"/>
        <w:outlineLvl w:val="2"/>
        <w:rPr>
          <w:rStyle w:val="Heading3Char"/>
          <w:rFonts w:asciiTheme="minorHAnsi" w:hAnsiTheme="minorHAnsi" w:cstheme="minorHAnsi"/>
          <w:b w:val="0"/>
          <w:bCs w:val="0"/>
          <w:color w:val="auto"/>
          <w:sz w:val="24"/>
          <w:szCs w:val="24"/>
          <w:lang w:bidi="ar-SA"/>
        </w:rPr>
      </w:pPr>
      <w:r w:rsidRPr="0051733E">
        <w:rPr>
          <w:rStyle w:val="Heading3Char"/>
          <w:rFonts w:asciiTheme="minorHAnsi" w:hAnsiTheme="minorHAnsi" w:cstheme="minorHAnsi"/>
          <w:color w:val="auto"/>
          <w:sz w:val="24"/>
          <w:szCs w:val="24"/>
          <w:lang w:bidi="ar-SA"/>
        </w:rPr>
        <w:t>Agencies:</w:t>
      </w:r>
      <w:r w:rsidRPr="0051733E">
        <w:rPr>
          <w:rStyle w:val="Heading3Char"/>
          <w:rFonts w:asciiTheme="minorHAnsi" w:hAnsiTheme="minorHAnsi" w:cstheme="minorHAnsi"/>
          <w:color w:val="auto"/>
          <w:sz w:val="24"/>
          <w:szCs w:val="24"/>
          <w:lang w:bidi="ar-SA"/>
        </w:rPr>
        <w:tab/>
      </w:r>
      <w:r w:rsidRPr="0051733E">
        <w:rPr>
          <w:rStyle w:val="Heading3Char"/>
          <w:rFonts w:asciiTheme="minorHAnsi" w:hAnsiTheme="minorHAnsi" w:cstheme="minorHAnsi"/>
          <w:b w:val="0"/>
          <w:bCs w:val="0"/>
          <w:color w:val="auto"/>
          <w:sz w:val="24"/>
          <w:szCs w:val="24"/>
          <w:lang w:bidi="ar-SA"/>
        </w:rPr>
        <w:t>CFPB, FDIC, OCC, FRB</w:t>
      </w:r>
    </w:p>
    <w:p w:rsidRPr="0051733E" w:rsidR="00AC68B4" w:rsidP="004F73EB" w:rsidRDefault="00AC68B4" w14:paraId="28D91AAE" w14:textId="77777777">
      <w:pPr>
        <w:pStyle w:val="Body"/>
        <w:spacing w:after="0"/>
        <w:rPr>
          <w:rStyle w:val="Heading3Char"/>
          <w:rFonts w:eastAsia="Calibri" w:asciiTheme="minorHAnsi" w:hAnsiTheme="minorHAnsi" w:cstheme="minorHAnsi"/>
          <w:color w:val="auto"/>
          <w:sz w:val="24"/>
          <w:szCs w:val="24"/>
        </w:rPr>
      </w:pPr>
      <w:r w:rsidRPr="0051733E">
        <w:rPr>
          <w:rStyle w:val="Heading3Char"/>
          <w:rFonts w:eastAsia="Calibri" w:asciiTheme="minorHAnsi" w:hAnsiTheme="minorHAnsi" w:cstheme="minorHAnsi"/>
          <w:color w:val="auto"/>
          <w:sz w:val="24"/>
          <w:szCs w:val="24"/>
        </w:rPr>
        <w:t xml:space="preserve">Status: </w:t>
      </w:r>
    </w:p>
    <w:p w:rsidRPr="001D5921" w:rsidR="00AC68B4" w:rsidP="004F73EB" w:rsidRDefault="00AC68B4" w14:paraId="41EE4C1A" w14:textId="77777777">
      <w:pPr>
        <w:pStyle w:val="Body"/>
        <w:spacing w:after="0"/>
        <w:rPr>
          <w:rStyle w:val="Heading3Char"/>
          <w:rFonts w:eastAsia="Calibri" w:asciiTheme="minorHAnsi" w:hAnsiTheme="minorHAnsi" w:cstheme="minorHAnsi"/>
          <w:b w:val="0"/>
          <w:color w:val="auto"/>
          <w:sz w:val="22"/>
          <w:szCs w:val="22"/>
        </w:rPr>
      </w:pPr>
    </w:p>
    <w:bookmarkEnd w:id="1"/>
    <w:p w:rsidRPr="001D5921" w:rsidR="00AC68B4" w:rsidP="004F73EB" w:rsidRDefault="00AC68B4" w14:paraId="2BE158AF" w14:textId="77777777">
      <w:pPr>
        <w:pStyle w:val="ListParagraph"/>
        <w:numPr>
          <w:ilvl w:val="0"/>
          <w:numId w:val="4"/>
        </w:numPr>
        <w:rPr>
          <w:rFonts w:eastAsia="Calibri" w:cstheme="minorHAnsi"/>
          <w:bCs/>
          <w:lang w:bidi="ar-SA"/>
        </w:rPr>
      </w:pPr>
      <w:r w:rsidRPr="001D5921">
        <w:rPr>
          <w:rFonts w:eastAsia="Calibri" w:cstheme="minorHAnsi"/>
          <w:bCs/>
          <w:lang w:bidi="ar-SA"/>
        </w:rPr>
        <w:t xml:space="preserve">CFPB </w:t>
      </w:r>
    </w:p>
    <w:p w:rsidR="00DC64D9" w:rsidP="00610C58" w:rsidRDefault="00DC64D9" w14:paraId="6738018E" w14:textId="47344511">
      <w:pPr>
        <w:pStyle w:val="ListParagraph"/>
        <w:numPr>
          <w:ilvl w:val="1"/>
          <w:numId w:val="7"/>
        </w:numPr>
        <w:ind w:left="1080"/>
        <w:rPr>
          <w:rFonts w:eastAsia="Calibri" w:cstheme="minorHAnsi"/>
          <w:bCs/>
        </w:rPr>
      </w:pPr>
      <w:bookmarkStart w:name="_Hlk147399191" w:id="2"/>
      <w:r>
        <w:rPr>
          <w:rFonts w:eastAsia="Calibri" w:cstheme="minorHAnsi"/>
          <w:bCs/>
        </w:rPr>
        <w:t>Overdraft Lending Final Rule – December 2024</w:t>
      </w:r>
    </w:p>
    <w:p w:rsidR="00DC64D9" w:rsidP="00610C58" w:rsidRDefault="00DC64D9" w14:paraId="251C9AAB" w14:textId="3FA8CC01">
      <w:pPr>
        <w:pStyle w:val="ListParagraph"/>
        <w:numPr>
          <w:ilvl w:val="2"/>
          <w:numId w:val="27"/>
        </w:numPr>
        <w:ind w:left="1800"/>
        <w:rPr>
          <w:rFonts w:eastAsia="Calibri" w:cstheme="minorHAnsi"/>
          <w:bCs/>
        </w:rPr>
      </w:pPr>
      <w:r>
        <w:rPr>
          <w:rFonts w:eastAsia="Calibri" w:cstheme="minorHAnsi"/>
          <w:bCs/>
        </w:rPr>
        <w:t>Applies to banks over $10billion in assets.</w:t>
      </w:r>
    </w:p>
    <w:p w:rsidR="00DC64D9" w:rsidP="00610C58" w:rsidRDefault="00DC64D9" w14:paraId="378329EA" w14:textId="566A2B49">
      <w:pPr>
        <w:pStyle w:val="ListParagraph"/>
        <w:numPr>
          <w:ilvl w:val="2"/>
          <w:numId w:val="27"/>
        </w:numPr>
        <w:ind w:left="1800"/>
        <w:rPr>
          <w:rFonts w:eastAsia="Calibri" w:cstheme="minorHAnsi"/>
          <w:bCs/>
        </w:rPr>
      </w:pPr>
      <w:r>
        <w:rPr>
          <w:rFonts w:eastAsia="Calibri" w:cstheme="minorHAnsi"/>
          <w:bCs/>
        </w:rPr>
        <w:t>Caps overdraft fees at $5.</w:t>
      </w:r>
    </w:p>
    <w:p w:rsidR="00DC64D9" w:rsidP="00610C58" w:rsidRDefault="00DC64D9" w14:paraId="320D226F" w14:textId="7B3D4EA7">
      <w:pPr>
        <w:pStyle w:val="ListParagraph"/>
        <w:numPr>
          <w:ilvl w:val="2"/>
          <w:numId w:val="27"/>
        </w:numPr>
        <w:ind w:left="1800"/>
        <w:rPr>
          <w:rFonts w:eastAsia="Calibri" w:cstheme="minorHAnsi"/>
          <w:bCs/>
        </w:rPr>
      </w:pPr>
      <w:proofErr w:type="gramStart"/>
      <w:r>
        <w:rPr>
          <w:rFonts w:eastAsia="Calibri" w:cstheme="minorHAnsi"/>
          <w:bCs/>
        </w:rPr>
        <w:t>Subjects</w:t>
      </w:r>
      <w:proofErr w:type="gramEnd"/>
      <w:r>
        <w:rPr>
          <w:rFonts w:eastAsia="Calibri" w:cstheme="minorHAnsi"/>
          <w:bCs/>
        </w:rPr>
        <w:t xml:space="preserve"> overdraft products to TILA requirements.</w:t>
      </w:r>
    </w:p>
    <w:p w:rsidRPr="00610C58" w:rsidR="00536923" w:rsidP="00610C58" w:rsidRDefault="00610C58" w14:paraId="21CE39DF" w14:textId="3BD1BD92">
      <w:pPr>
        <w:pStyle w:val="ListParagraph"/>
        <w:numPr>
          <w:ilvl w:val="2"/>
          <w:numId w:val="27"/>
        </w:numPr>
        <w:ind w:left="1800"/>
        <w:rPr>
          <w:rFonts w:eastAsia="Calibri" w:cstheme="minorHAnsi"/>
          <w:bCs/>
        </w:rPr>
      </w:pPr>
      <w:r>
        <w:rPr>
          <w:rFonts w:eastAsia="Calibri" w:cstheme="minorHAnsi"/>
          <w:bCs/>
        </w:rPr>
        <w:t>Senators Hill and Scott introduced</w:t>
      </w:r>
      <w:r w:rsidRPr="00610C58">
        <w:rPr>
          <w:rFonts w:eastAsia="Calibri" w:cstheme="minorHAnsi"/>
          <w:bCs/>
        </w:rPr>
        <w:t xml:space="preserve"> Congressional Review Act (CRA) resolutions</w:t>
      </w:r>
      <w:r>
        <w:rPr>
          <w:rFonts w:eastAsia="Calibri" w:cstheme="minorHAnsi"/>
          <w:bCs/>
        </w:rPr>
        <w:t xml:space="preserve"> to overturn the rule. – February 2025.</w:t>
      </w:r>
    </w:p>
    <w:p w:rsidRPr="001D5921" w:rsidR="000F0B58" w:rsidP="00610C58" w:rsidRDefault="000F0B58" w14:paraId="2AA2532F" w14:textId="0906DC24">
      <w:pPr>
        <w:pStyle w:val="ListParagraph"/>
        <w:numPr>
          <w:ilvl w:val="1"/>
          <w:numId w:val="7"/>
        </w:numPr>
        <w:ind w:left="1080"/>
        <w:rPr>
          <w:rFonts w:eastAsia="Calibri" w:cstheme="minorHAnsi"/>
          <w:bCs/>
        </w:rPr>
      </w:pPr>
      <w:r w:rsidRPr="001D5921">
        <w:rPr>
          <w:rFonts w:eastAsia="Calibri" w:cstheme="minorHAnsi"/>
          <w:bCs/>
        </w:rPr>
        <w:t>Overdraft Lending: Very Large Financial Institutions Proposed Rule -</w:t>
      </w:r>
      <w:r w:rsidRPr="001D5921">
        <w:rPr>
          <w:rFonts w:eastAsia="Calibri" w:cstheme="minorHAnsi"/>
        </w:rPr>
        <w:t>Jan 2024</w:t>
      </w:r>
    </w:p>
    <w:p w:rsidRPr="001D5921" w:rsidR="00AC68B4" w:rsidP="00610C58" w:rsidRDefault="00AC68B4" w14:paraId="1F369D9F" w14:textId="54074BB3">
      <w:pPr>
        <w:pStyle w:val="ListParagraph"/>
        <w:numPr>
          <w:ilvl w:val="1"/>
          <w:numId w:val="8"/>
        </w:numPr>
        <w:ind w:left="1080"/>
        <w:rPr>
          <w:rFonts w:eastAsia="Calibri" w:cstheme="minorHAnsi"/>
          <w:bCs/>
        </w:rPr>
      </w:pPr>
      <w:r w:rsidRPr="001D5921">
        <w:rPr>
          <w:rFonts w:eastAsia="Calibri" w:cstheme="minorHAnsi"/>
          <w:bCs/>
        </w:rPr>
        <w:t>Advisory Opinion - Oct 2023</w:t>
      </w:r>
    </w:p>
    <w:p w:rsidRPr="001D5921" w:rsidR="00AC68B4" w:rsidP="00610C58" w:rsidRDefault="00AC68B4" w14:paraId="0D49A0F3" w14:textId="6BFC1893">
      <w:pPr>
        <w:pStyle w:val="ListParagraph"/>
        <w:numPr>
          <w:ilvl w:val="2"/>
          <w:numId w:val="29"/>
        </w:numPr>
        <w:ind w:left="1800"/>
        <w:rPr>
          <w:rFonts w:eastAsia="Calibri" w:cstheme="minorHAnsi"/>
          <w:bCs/>
        </w:rPr>
      </w:pPr>
      <w:r w:rsidRPr="001D5921">
        <w:rPr>
          <w:rFonts w:eastAsia="Calibri" w:cstheme="minorHAnsi"/>
          <w:bCs/>
        </w:rPr>
        <w:t>Requires large banks to</w:t>
      </w:r>
      <w:r w:rsidRPr="001D5921" w:rsidR="000F0B58">
        <w:rPr>
          <w:rFonts w:eastAsia="Calibri" w:cstheme="minorHAnsi"/>
          <w:bCs/>
        </w:rPr>
        <w:t xml:space="preserve"> </w:t>
      </w:r>
      <w:r w:rsidRPr="001D5921">
        <w:rPr>
          <w:rFonts w:eastAsia="Calibri" w:cstheme="minorHAnsi"/>
          <w:bCs/>
        </w:rPr>
        <w:t>provide certain information to customers free of charge, such as account balances</w:t>
      </w:r>
      <w:r w:rsidRPr="001D5921" w:rsidR="00A83933">
        <w:rPr>
          <w:rFonts w:eastAsia="Calibri" w:cstheme="minorHAnsi"/>
          <w:bCs/>
        </w:rPr>
        <w:t xml:space="preserve"> and </w:t>
      </w:r>
      <w:r w:rsidRPr="001D5921">
        <w:rPr>
          <w:rFonts w:eastAsia="Calibri" w:cstheme="minorHAnsi"/>
          <w:bCs/>
        </w:rPr>
        <w:t>transaction history</w:t>
      </w:r>
      <w:r w:rsidRPr="001D5921" w:rsidR="00A83933">
        <w:rPr>
          <w:rFonts w:eastAsia="Calibri" w:cstheme="minorHAnsi"/>
          <w:bCs/>
        </w:rPr>
        <w:t>.</w:t>
      </w:r>
    </w:p>
    <w:p w:rsidRPr="001D5921" w:rsidR="004F73EB" w:rsidP="00610C58" w:rsidRDefault="00AC68B4" w14:paraId="0D3F75FE" w14:textId="74867D68">
      <w:pPr>
        <w:pStyle w:val="Body"/>
        <w:numPr>
          <w:ilvl w:val="2"/>
          <w:numId w:val="29"/>
        </w:numPr>
        <w:spacing w:after="0" w:line="240" w:lineRule="auto"/>
        <w:ind w:left="1800"/>
        <w:jc w:val="left"/>
        <w:rPr>
          <w:rFonts w:asciiTheme="minorHAnsi" w:hAnsiTheme="minorHAnsi" w:cstheme="minorHAnsi"/>
          <w:sz w:val="22"/>
          <w:szCs w:val="22"/>
          <w:lang w:bidi="en-US"/>
        </w:rPr>
      </w:pPr>
      <w:r w:rsidRPr="001D5921">
        <w:rPr>
          <w:rFonts w:asciiTheme="minorHAnsi" w:hAnsiTheme="minorHAnsi" w:cstheme="minorHAnsi"/>
          <w:sz w:val="22"/>
          <w:szCs w:val="22"/>
          <w:lang w:bidi="en-US"/>
        </w:rPr>
        <w:t>CFPB does not intend to seek monetary relief for violations that occurred prior to February 1, 2024.</w:t>
      </w:r>
    </w:p>
    <w:p w:rsidRPr="001D5921" w:rsidR="001D5921" w:rsidP="001D5921" w:rsidRDefault="001D5921" w14:paraId="17EBFDF3" w14:textId="77777777">
      <w:pPr>
        <w:pStyle w:val="ListParagraph"/>
        <w:ind w:left="1800"/>
        <w:rPr>
          <w:rFonts w:eastAsia="Calibri" w:cstheme="minorHAnsi"/>
          <w:bCs/>
        </w:rPr>
      </w:pPr>
    </w:p>
    <w:bookmarkEnd w:id="2"/>
    <w:p w:rsidRPr="001D5921" w:rsidR="00AC68B4" w:rsidP="001D5921" w:rsidRDefault="00AC68B4" w14:paraId="3A74F94C" w14:textId="138B777B">
      <w:pPr>
        <w:pStyle w:val="ListParagraph"/>
        <w:numPr>
          <w:ilvl w:val="0"/>
          <w:numId w:val="4"/>
        </w:numPr>
        <w:rPr>
          <w:rFonts w:eastAsia="Calibri" w:cstheme="minorHAnsi"/>
          <w:bCs/>
          <w:lang w:bidi="ar-SA"/>
        </w:rPr>
      </w:pPr>
      <w:r w:rsidRPr="001D5921">
        <w:rPr>
          <w:rFonts w:eastAsia="Calibri" w:cstheme="minorHAnsi"/>
          <w:bCs/>
          <w:lang w:bidi="ar-SA"/>
        </w:rPr>
        <w:t>FRB</w:t>
      </w:r>
      <w:r w:rsidRPr="001D5921" w:rsidR="00D96B3F">
        <w:rPr>
          <w:rFonts w:cstheme="minorHAnsi"/>
        </w:rPr>
        <w:t xml:space="preserve"> </w:t>
      </w:r>
      <w:r w:rsidRPr="001D5921" w:rsidR="000F0B58">
        <w:rPr>
          <w:rFonts w:cstheme="minorHAnsi"/>
        </w:rPr>
        <w:t>Compliance Spotlight - Supervisory Observations on Representment Fees</w:t>
      </w:r>
      <w:r w:rsidRPr="001D5921" w:rsidR="00B66EA1">
        <w:rPr>
          <w:rFonts w:cstheme="minorHAnsi"/>
        </w:rPr>
        <w:t xml:space="preserve">; </w:t>
      </w:r>
      <w:r w:rsidRPr="001D5921" w:rsidR="00E55EB0">
        <w:rPr>
          <w:rFonts w:cstheme="minorHAnsi"/>
          <w:bCs/>
        </w:rPr>
        <w:t>representment</w:t>
      </w:r>
      <w:r w:rsidRPr="001D5921" w:rsidR="000F0B58">
        <w:rPr>
          <w:rFonts w:cstheme="minorHAnsi"/>
          <w:bCs/>
        </w:rPr>
        <w:t xml:space="preserve"> fees violate </w:t>
      </w:r>
      <w:r w:rsidRPr="001D5921" w:rsidR="00257EEF">
        <w:rPr>
          <w:rFonts w:cstheme="minorHAnsi"/>
          <w:bCs/>
        </w:rPr>
        <w:t xml:space="preserve">Section 5 of the </w:t>
      </w:r>
      <w:r w:rsidRPr="001D5921" w:rsidR="000F0B58">
        <w:rPr>
          <w:rFonts w:cstheme="minorHAnsi"/>
          <w:bCs/>
        </w:rPr>
        <w:t>FTC Act</w:t>
      </w:r>
      <w:r w:rsidRPr="001D5921" w:rsidR="00E55EB0">
        <w:rPr>
          <w:rFonts w:cstheme="minorHAnsi"/>
          <w:bCs/>
        </w:rPr>
        <w:t xml:space="preserve"> - </w:t>
      </w:r>
      <w:r w:rsidRPr="001D5921" w:rsidR="00E55EB0">
        <w:rPr>
          <w:rFonts w:eastAsia="Calibri" w:cstheme="minorHAnsi"/>
          <w:bCs/>
          <w:lang w:bidi="ar-SA"/>
        </w:rPr>
        <w:t xml:space="preserve">September 2023 </w:t>
      </w:r>
    </w:p>
    <w:p w:rsidRPr="001D5921" w:rsidR="00BC1414" w:rsidP="00BC1414" w:rsidRDefault="00BC1414" w14:paraId="506C2A3A" w14:textId="77777777">
      <w:pPr>
        <w:pStyle w:val="ListParagraph"/>
        <w:rPr>
          <w:rFonts w:eastAsia="Calibri" w:cstheme="minorHAnsi"/>
          <w:bCs/>
          <w:lang w:bidi="ar-SA"/>
        </w:rPr>
      </w:pPr>
    </w:p>
    <w:p w:rsidRPr="001D5921" w:rsidR="00E55EB0" w:rsidP="001D5921" w:rsidRDefault="00E55EB0" w14:paraId="4D4BA448" w14:textId="2BEE84CE">
      <w:pPr>
        <w:numPr>
          <w:ilvl w:val="0"/>
          <w:numId w:val="4"/>
        </w:numPr>
        <w:rPr>
          <w:rFonts w:asciiTheme="minorHAnsi" w:hAnsiTheme="minorHAnsi" w:cstheme="minorHAnsi"/>
          <w:bCs/>
        </w:rPr>
      </w:pPr>
      <w:r w:rsidRPr="000F0B58">
        <w:rPr>
          <w:rFonts w:asciiTheme="minorHAnsi" w:hAnsiTheme="minorHAnsi" w:cstheme="minorHAnsi"/>
          <w:bCs/>
        </w:rPr>
        <w:t xml:space="preserve">OCC </w:t>
      </w:r>
      <w:r w:rsidRPr="000F0B58">
        <w:rPr>
          <w:rFonts w:asciiTheme="minorHAnsi" w:hAnsiTheme="minorHAnsi" w:cstheme="minorHAnsi"/>
        </w:rPr>
        <w:t>Guidance on Overdraft Protection Programs</w:t>
      </w:r>
      <w:r w:rsidRPr="001D5921" w:rsidR="007C2688">
        <w:rPr>
          <w:rFonts w:asciiTheme="minorHAnsi" w:hAnsiTheme="minorHAnsi" w:cstheme="minorHAnsi"/>
        </w:rPr>
        <w:t>;</w:t>
      </w:r>
      <w:r w:rsidRPr="000F0B58">
        <w:rPr>
          <w:rFonts w:asciiTheme="minorHAnsi" w:hAnsiTheme="minorHAnsi" w:cstheme="minorHAnsi"/>
          <w:bCs/>
        </w:rPr>
        <w:t xml:space="preserve"> representment fees violate the FTC Act and disclosures do not matter</w:t>
      </w:r>
      <w:r w:rsidRPr="001D5921">
        <w:rPr>
          <w:rFonts w:asciiTheme="minorHAnsi" w:hAnsiTheme="minorHAnsi" w:cstheme="minorHAnsi"/>
          <w:bCs/>
        </w:rPr>
        <w:t xml:space="preserve"> - </w:t>
      </w:r>
      <w:r w:rsidRPr="000F0B58">
        <w:rPr>
          <w:rFonts w:asciiTheme="minorHAnsi" w:hAnsiTheme="minorHAnsi" w:cstheme="minorHAnsi"/>
          <w:bCs/>
        </w:rPr>
        <w:t xml:space="preserve">April 2023 </w:t>
      </w:r>
    </w:p>
    <w:p w:rsidRPr="000F0B58" w:rsidR="00BC1414" w:rsidP="00BC1414" w:rsidRDefault="00BC1414" w14:paraId="7A53F97A" w14:textId="77777777">
      <w:pPr>
        <w:spacing w:line="256" w:lineRule="auto"/>
        <w:rPr>
          <w:rFonts w:asciiTheme="minorHAnsi" w:hAnsiTheme="minorHAnsi" w:cstheme="minorHAnsi"/>
          <w:bCs/>
        </w:rPr>
      </w:pPr>
    </w:p>
    <w:p w:rsidRPr="001D5921" w:rsidR="00987C99" w:rsidP="001D5921" w:rsidRDefault="00987C99" w14:paraId="4257B68A" w14:textId="397AB464">
      <w:pPr>
        <w:numPr>
          <w:ilvl w:val="0"/>
          <w:numId w:val="16"/>
        </w:numPr>
        <w:rPr>
          <w:rFonts w:asciiTheme="minorHAnsi" w:hAnsiTheme="minorHAnsi" w:cstheme="minorHAnsi"/>
          <w:bCs/>
        </w:rPr>
      </w:pPr>
      <w:r w:rsidRPr="001D5921">
        <w:rPr>
          <w:rFonts w:asciiTheme="minorHAnsi" w:hAnsiTheme="minorHAnsi" w:cstheme="minorHAnsi"/>
        </w:rPr>
        <w:t xml:space="preserve">FDIC </w:t>
      </w:r>
    </w:p>
    <w:p w:rsidRPr="001D5921" w:rsidR="000C0496" w:rsidP="001D5921" w:rsidRDefault="00987C99" w14:paraId="783B5609" w14:textId="5D94B38B">
      <w:pPr>
        <w:pStyle w:val="ListParagraph"/>
        <w:numPr>
          <w:ilvl w:val="0"/>
          <w:numId w:val="22"/>
        </w:numPr>
        <w:ind w:left="990"/>
        <w:rPr>
          <w:rFonts w:cstheme="minorHAnsi"/>
        </w:rPr>
      </w:pPr>
      <w:r w:rsidRPr="001D5921">
        <w:rPr>
          <w:rFonts w:cstheme="minorHAnsi"/>
        </w:rPr>
        <w:t>FIL</w:t>
      </w:r>
      <w:r w:rsidRPr="001D5921" w:rsidR="000C0496">
        <w:rPr>
          <w:rFonts w:cstheme="minorHAnsi"/>
        </w:rPr>
        <w:t>-40-22</w:t>
      </w:r>
      <w:r w:rsidRPr="001D5921" w:rsidR="007C2688">
        <w:rPr>
          <w:rFonts w:cstheme="minorHAnsi"/>
        </w:rPr>
        <w:t xml:space="preserve">; </w:t>
      </w:r>
      <w:r w:rsidRPr="001D5921" w:rsidR="000C0496">
        <w:rPr>
          <w:rFonts w:cstheme="minorHAnsi"/>
        </w:rPr>
        <w:t xml:space="preserve">representment fees may </w:t>
      </w:r>
      <w:r w:rsidRPr="001D5921" w:rsidR="00B16B81">
        <w:rPr>
          <w:rFonts w:cstheme="minorHAnsi"/>
        </w:rPr>
        <w:t>violate</w:t>
      </w:r>
      <w:r w:rsidRPr="001D5921" w:rsidR="000C0496">
        <w:rPr>
          <w:rFonts w:cstheme="minorHAnsi"/>
        </w:rPr>
        <w:t xml:space="preserve"> Section 5 of the FTC Act</w:t>
      </w:r>
      <w:r w:rsidRPr="001D5921" w:rsidR="00BD0CF9">
        <w:rPr>
          <w:rFonts w:cstheme="minorHAnsi"/>
        </w:rPr>
        <w:t xml:space="preserve"> - August 2022</w:t>
      </w:r>
    </w:p>
    <w:p w:rsidRPr="001D5921" w:rsidR="00AF1A93" w:rsidP="001D5921" w:rsidRDefault="007B5B66" w14:paraId="3884A119" w14:textId="64D43FA2">
      <w:pPr>
        <w:pStyle w:val="ListParagraph"/>
        <w:numPr>
          <w:ilvl w:val="0"/>
          <w:numId w:val="21"/>
        </w:numPr>
        <w:rPr>
          <w:rFonts w:cstheme="minorHAnsi"/>
          <w:b/>
          <w:bCs/>
          <w:i/>
          <w:iCs/>
        </w:rPr>
      </w:pPr>
      <w:r w:rsidRPr="001D5921">
        <w:rPr>
          <w:rFonts w:cstheme="minorHAnsi"/>
          <w:b/>
          <w:bCs/>
          <w:i/>
          <w:iCs/>
        </w:rPr>
        <w:t>Update issued in</w:t>
      </w:r>
      <w:r w:rsidRPr="001D5921" w:rsidR="00543856">
        <w:rPr>
          <w:rFonts w:cstheme="minorHAnsi"/>
          <w:b/>
          <w:bCs/>
          <w:i/>
          <w:iCs/>
        </w:rPr>
        <w:t xml:space="preserve"> June 2023</w:t>
      </w:r>
      <w:r w:rsidRPr="001D5921" w:rsidR="00731BFE">
        <w:rPr>
          <w:rFonts w:cstheme="minorHAnsi"/>
          <w:b/>
          <w:bCs/>
          <w:i/>
          <w:iCs/>
        </w:rPr>
        <w:t xml:space="preserve"> – Agency </w:t>
      </w:r>
      <w:r w:rsidRPr="001D5921" w:rsidR="00AE7AA0">
        <w:rPr>
          <w:rFonts w:eastAsia="Calibri" w:cstheme="minorHAnsi"/>
          <w:b/>
          <w:bCs/>
          <w:i/>
          <w:iCs/>
          <w:lang w:bidi="ar-SA"/>
        </w:rPr>
        <w:t>w</w:t>
      </w:r>
      <w:r w:rsidRPr="001D5921" w:rsidR="00731BFE">
        <w:rPr>
          <w:rFonts w:eastAsia="Calibri" w:cstheme="minorHAnsi"/>
          <w:b/>
          <w:bCs/>
          <w:i/>
          <w:iCs/>
          <w:lang w:bidi="ar-SA"/>
        </w:rPr>
        <w:t>ill</w:t>
      </w:r>
      <w:r w:rsidRPr="001D5921" w:rsidR="00AE7AA0">
        <w:rPr>
          <w:rFonts w:eastAsia="Calibri" w:cstheme="minorHAnsi"/>
          <w:b/>
          <w:bCs/>
          <w:i/>
          <w:iCs/>
          <w:lang w:bidi="ar-SA"/>
        </w:rPr>
        <w:t xml:space="preserve"> </w:t>
      </w:r>
      <w:r w:rsidRPr="001D5921" w:rsidR="00AF1A93">
        <w:rPr>
          <w:rFonts w:eastAsia="Calibri" w:cstheme="minorHAnsi"/>
          <w:b/>
          <w:bCs/>
          <w:i/>
          <w:iCs/>
          <w:lang w:bidi="ar-SA"/>
        </w:rPr>
        <w:t xml:space="preserve">not </w:t>
      </w:r>
      <w:r w:rsidRPr="001D5921" w:rsidR="009B35B0">
        <w:rPr>
          <w:rFonts w:eastAsia="Calibri" w:cstheme="minorHAnsi"/>
          <w:b/>
          <w:bCs/>
          <w:i/>
          <w:iCs/>
          <w:lang w:bidi="ar-SA"/>
        </w:rPr>
        <w:t>require a</w:t>
      </w:r>
      <w:r w:rsidRPr="001D5921" w:rsidR="00AF1A93">
        <w:rPr>
          <w:rFonts w:eastAsia="Calibri" w:cstheme="minorHAnsi"/>
          <w:b/>
          <w:bCs/>
          <w:i/>
          <w:iCs/>
          <w:lang w:bidi="ar-SA"/>
        </w:rPr>
        <w:t xml:space="preserve"> lookback absent a likelihood of harm.</w:t>
      </w:r>
    </w:p>
    <w:p w:rsidRPr="000F0B58" w:rsidR="000C0496" w:rsidP="001D5921" w:rsidRDefault="000C0496" w14:paraId="704F26BD" w14:textId="7E0EA0D2">
      <w:pPr>
        <w:numPr>
          <w:ilvl w:val="0"/>
          <w:numId w:val="18"/>
        </w:numPr>
        <w:rPr>
          <w:rFonts w:asciiTheme="minorHAnsi" w:hAnsiTheme="minorHAnsi" w:cstheme="minorHAnsi"/>
        </w:rPr>
      </w:pPr>
      <w:r w:rsidRPr="000F0B58">
        <w:rPr>
          <w:rFonts w:asciiTheme="minorHAnsi" w:hAnsiTheme="minorHAnsi" w:cstheme="minorHAnsi"/>
        </w:rPr>
        <w:t xml:space="preserve">On July 20, 2023, the Minnesota Bankers Association and Lake Central Bank filed a lawsuit in </w:t>
      </w:r>
      <w:r w:rsidRPr="001D5921" w:rsidR="000776BD">
        <w:rPr>
          <w:rFonts w:asciiTheme="minorHAnsi" w:hAnsiTheme="minorHAnsi" w:cstheme="minorHAnsi"/>
        </w:rPr>
        <w:t xml:space="preserve">the </w:t>
      </w:r>
      <w:r w:rsidRPr="000F0B58">
        <w:rPr>
          <w:rFonts w:asciiTheme="minorHAnsi" w:hAnsiTheme="minorHAnsi" w:cstheme="minorHAnsi"/>
        </w:rPr>
        <w:t xml:space="preserve">Federal District Court in Minnesota alleging that the FIL required Notice and Comment and that it was an arbitrary and capricious action by the agency. </w:t>
      </w:r>
    </w:p>
    <w:p w:rsidRPr="000F0B58" w:rsidR="000C0496" w:rsidP="001D5921" w:rsidRDefault="000C0496" w14:paraId="278E0B36" w14:textId="113D6C33">
      <w:pPr>
        <w:numPr>
          <w:ilvl w:val="0"/>
          <w:numId w:val="18"/>
        </w:numPr>
        <w:rPr>
          <w:rFonts w:asciiTheme="minorHAnsi" w:hAnsiTheme="minorHAnsi" w:cstheme="minorHAnsi"/>
        </w:rPr>
      </w:pPr>
      <w:r w:rsidRPr="000F0B58">
        <w:rPr>
          <w:rFonts w:asciiTheme="minorHAnsi" w:hAnsiTheme="minorHAnsi" w:cstheme="minorHAnsi"/>
        </w:rPr>
        <w:t xml:space="preserve">The FDIC filed a motion to dismiss </w:t>
      </w:r>
      <w:r w:rsidRPr="001D5921" w:rsidR="000776BD">
        <w:rPr>
          <w:rFonts w:asciiTheme="minorHAnsi" w:hAnsiTheme="minorHAnsi" w:cstheme="minorHAnsi"/>
        </w:rPr>
        <w:t>i</w:t>
      </w:r>
      <w:r w:rsidRPr="000F0B58">
        <w:rPr>
          <w:rFonts w:asciiTheme="minorHAnsi" w:hAnsiTheme="minorHAnsi" w:cstheme="minorHAnsi"/>
        </w:rPr>
        <w:t>n September 2023</w:t>
      </w:r>
      <w:r w:rsidRPr="001D5921" w:rsidR="000776BD">
        <w:rPr>
          <w:rFonts w:asciiTheme="minorHAnsi" w:hAnsiTheme="minorHAnsi" w:cstheme="minorHAnsi"/>
        </w:rPr>
        <w:t>. On</w:t>
      </w:r>
      <w:r w:rsidRPr="000F0B58">
        <w:rPr>
          <w:rFonts w:asciiTheme="minorHAnsi" w:hAnsiTheme="minorHAnsi" w:cstheme="minorHAnsi"/>
        </w:rPr>
        <w:t xml:space="preserve"> April 8, 2024, the </w:t>
      </w:r>
      <w:r w:rsidRPr="001D5921" w:rsidR="000776BD">
        <w:rPr>
          <w:rFonts w:asciiTheme="minorHAnsi" w:hAnsiTheme="minorHAnsi" w:cstheme="minorHAnsi"/>
        </w:rPr>
        <w:t>claim was</w:t>
      </w:r>
      <w:r w:rsidRPr="000F0B58">
        <w:rPr>
          <w:rFonts w:asciiTheme="minorHAnsi" w:hAnsiTheme="minorHAnsi" w:cstheme="minorHAnsi"/>
        </w:rPr>
        <w:t> dismissed without prejudice citing the Plaintiffs lacked standing and</w:t>
      </w:r>
      <w:r w:rsidRPr="001D5921" w:rsidR="00F123B6">
        <w:rPr>
          <w:rFonts w:asciiTheme="minorHAnsi" w:hAnsiTheme="minorHAnsi" w:cstheme="minorHAnsi"/>
        </w:rPr>
        <w:t xml:space="preserve"> the</w:t>
      </w:r>
      <w:r w:rsidRPr="000F0B58">
        <w:rPr>
          <w:rFonts w:asciiTheme="minorHAnsi" w:hAnsiTheme="minorHAnsi" w:cstheme="minorHAnsi"/>
        </w:rPr>
        <w:t xml:space="preserve"> FIL </w:t>
      </w:r>
      <w:r w:rsidRPr="001D5921" w:rsidR="00FC6EF7">
        <w:rPr>
          <w:rFonts w:asciiTheme="minorHAnsi" w:hAnsiTheme="minorHAnsi" w:cstheme="minorHAnsi"/>
        </w:rPr>
        <w:t>i</w:t>
      </w:r>
      <w:r w:rsidRPr="000F0B58">
        <w:rPr>
          <w:rFonts w:asciiTheme="minorHAnsi" w:hAnsiTheme="minorHAnsi" w:cstheme="minorHAnsi"/>
        </w:rPr>
        <w:t xml:space="preserve">s not a final rule and therefore no legal consequences flow from it. </w:t>
      </w:r>
    </w:p>
    <w:p w:rsidRPr="001D5921" w:rsidR="00AC68B4" w:rsidP="004F73EB" w:rsidRDefault="00AC68B4" w14:paraId="0A9430A8" w14:textId="77777777">
      <w:pPr>
        <w:pStyle w:val="Header2"/>
        <w:rPr>
          <w:rFonts w:asciiTheme="minorHAnsi" w:hAnsiTheme="minorHAnsi" w:cstheme="minorHAnsi"/>
          <w:color w:val="auto"/>
          <w:sz w:val="22"/>
        </w:rPr>
      </w:pPr>
    </w:p>
    <w:p w:rsidRPr="001D5921" w:rsidR="00AC68B4" w:rsidP="001D5921" w:rsidRDefault="00AC68B4" w14:paraId="253C8A18" w14:textId="50854905">
      <w:pPr>
        <w:pStyle w:val="Header2"/>
        <w:spacing w:line="240" w:lineRule="auto"/>
        <w:rPr>
          <w:rFonts w:asciiTheme="minorHAnsi" w:hAnsiTheme="minorHAnsi" w:cstheme="minorHAnsi"/>
          <w:color w:val="auto"/>
          <w:sz w:val="22"/>
        </w:rPr>
      </w:pPr>
      <w:r w:rsidRPr="001D5921">
        <w:rPr>
          <w:rFonts w:asciiTheme="minorHAnsi" w:hAnsiTheme="minorHAnsi" w:cstheme="minorHAnsi"/>
          <w:color w:val="auto"/>
          <w:sz w:val="22"/>
        </w:rPr>
        <w:t xml:space="preserve">ICBA Position: </w:t>
      </w:r>
    </w:p>
    <w:p w:rsidRPr="001D5921" w:rsidR="00AC68B4" w:rsidP="001D5921" w:rsidRDefault="00AC68B4" w14:paraId="1BF807E5" w14:textId="77777777">
      <w:pPr>
        <w:pStyle w:val="Body"/>
        <w:numPr>
          <w:ilvl w:val="0"/>
          <w:numId w:val="13"/>
        </w:numPr>
        <w:spacing w:after="0" w:line="240" w:lineRule="auto"/>
        <w:ind w:left="1080"/>
        <w:jc w:val="left"/>
        <w:rPr>
          <w:rFonts w:asciiTheme="minorHAnsi" w:hAnsiTheme="minorHAnsi" w:cstheme="minorHAnsi"/>
          <w:sz w:val="22"/>
          <w:szCs w:val="22"/>
        </w:rPr>
      </w:pPr>
      <w:r w:rsidRPr="001D5921">
        <w:rPr>
          <w:rFonts w:asciiTheme="minorHAnsi" w:hAnsiTheme="minorHAnsi" w:cstheme="minorHAnsi"/>
          <w:sz w:val="22"/>
          <w:szCs w:val="22"/>
        </w:rPr>
        <w:t>We broadly oppose price controls and caps imposed by any regulatory agency, which only distorts market discipline and demand for delivery of products and services.</w:t>
      </w:r>
    </w:p>
    <w:p w:rsidRPr="001D5921" w:rsidR="00987C99" w:rsidP="001D5921" w:rsidRDefault="00987C99" w14:paraId="082B1D2E" w14:textId="63E64761">
      <w:pPr>
        <w:pStyle w:val="Body"/>
        <w:numPr>
          <w:ilvl w:val="0"/>
          <w:numId w:val="13"/>
        </w:numPr>
        <w:spacing w:after="0" w:line="240" w:lineRule="auto"/>
        <w:ind w:left="1080"/>
        <w:jc w:val="left"/>
        <w:rPr>
          <w:rFonts w:asciiTheme="minorHAnsi" w:hAnsiTheme="minorHAnsi" w:cstheme="minorHAnsi"/>
          <w:sz w:val="22"/>
          <w:szCs w:val="22"/>
        </w:rPr>
      </w:pPr>
      <w:r w:rsidRPr="001D5921">
        <w:rPr>
          <w:rFonts w:asciiTheme="minorHAnsi" w:hAnsiTheme="minorHAnsi" w:cstheme="minorHAnsi"/>
          <w:sz w:val="22"/>
          <w:szCs w:val="22"/>
        </w:rPr>
        <w:lastRenderedPageBreak/>
        <w:t>Community banks are bound by law to disclose fees in a manner dictated by statute and regulations; to now call those disclosures, “illegal” or “surprising” is troubling.</w:t>
      </w:r>
    </w:p>
    <w:p w:rsidRPr="001D5921" w:rsidR="00AC68B4" w:rsidP="001D5921" w:rsidRDefault="00AC68B4" w14:paraId="15539451" w14:textId="77777777">
      <w:pPr>
        <w:pStyle w:val="Body"/>
        <w:numPr>
          <w:ilvl w:val="0"/>
          <w:numId w:val="13"/>
        </w:numPr>
        <w:spacing w:after="0" w:line="240" w:lineRule="auto"/>
        <w:ind w:left="1080"/>
        <w:jc w:val="left"/>
        <w:rPr>
          <w:rFonts w:asciiTheme="minorHAnsi" w:hAnsiTheme="minorHAnsi" w:cstheme="minorHAnsi"/>
          <w:sz w:val="22"/>
          <w:szCs w:val="22"/>
        </w:rPr>
      </w:pPr>
      <w:r w:rsidRPr="001D5921">
        <w:rPr>
          <w:rFonts w:asciiTheme="minorHAnsi" w:hAnsiTheme="minorHAnsi" w:cstheme="minorHAnsi"/>
          <w:sz w:val="22"/>
          <w:szCs w:val="22"/>
        </w:rPr>
        <w:t xml:space="preserve">ICBA strongly urge policymakers to cautiously consider the consequences of any future restrictive fee related legislation and regulations, which would have a negative ripple effect on customers who rely on these services. </w:t>
      </w:r>
    </w:p>
    <w:p w:rsidRPr="001D5921" w:rsidR="00AC68B4" w:rsidP="001D5921" w:rsidRDefault="00AC68B4" w14:paraId="426D9CC6" w14:textId="481BB9E4">
      <w:pPr>
        <w:pStyle w:val="Body"/>
        <w:numPr>
          <w:ilvl w:val="0"/>
          <w:numId w:val="13"/>
        </w:numPr>
        <w:spacing w:after="0" w:line="240" w:lineRule="auto"/>
        <w:ind w:left="1080"/>
        <w:jc w:val="left"/>
        <w:rPr>
          <w:rFonts w:asciiTheme="minorHAnsi" w:hAnsiTheme="minorHAnsi" w:cstheme="minorHAnsi"/>
          <w:sz w:val="22"/>
          <w:szCs w:val="22"/>
        </w:rPr>
      </w:pPr>
      <w:r w:rsidRPr="001D5921">
        <w:rPr>
          <w:rFonts w:asciiTheme="minorHAnsi" w:hAnsiTheme="minorHAnsi" w:cstheme="minorHAnsi"/>
          <w:sz w:val="22"/>
          <w:szCs w:val="22"/>
        </w:rPr>
        <w:t>ICBA opposes any retroactive and punitive action on lawfully disclosed fee practices, especially where those practices were never subject to examiner or regulatory scrutiny.</w:t>
      </w:r>
    </w:p>
    <w:p w:rsidRPr="001D5921" w:rsidR="00AC68B4" w:rsidP="001D5921" w:rsidRDefault="00AC68B4" w14:paraId="02243E5C" w14:textId="77777777">
      <w:pPr>
        <w:pStyle w:val="Body"/>
        <w:numPr>
          <w:ilvl w:val="0"/>
          <w:numId w:val="13"/>
        </w:numPr>
        <w:spacing w:after="0" w:line="240" w:lineRule="auto"/>
        <w:ind w:left="1080"/>
        <w:jc w:val="left"/>
        <w:rPr>
          <w:rFonts w:asciiTheme="minorHAnsi" w:hAnsiTheme="minorHAnsi" w:cstheme="minorHAnsi"/>
          <w:sz w:val="22"/>
          <w:szCs w:val="22"/>
        </w:rPr>
      </w:pPr>
      <w:r w:rsidRPr="001D5921">
        <w:rPr>
          <w:rFonts w:asciiTheme="minorHAnsi" w:hAnsiTheme="minorHAnsi" w:cstheme="minorHAnsi"/>
          <w:sz w:val="22"/>
          <w:szCs w:val="22"/>
        </w:rPr>
        <w:t>We remain committed to pushing back and utilizing all resources available against the harmful rulemaking and rhetoric that mischaracterizes contractually negotiated and disclosed fees as “junk fees” in any form. In doing so, we will call for appropriate oversight, hearings, and other measures to hold the bureau accountable to comply with its mandate and governing rules.</w:t>
      </w:r>
    </w:p>
    <w:p w:rsidRPr="001D5921" w:rsidR="00AC68B4" w:rsidP="004F73EB" w:rsidRDefault="00AC68B4" w14:paraId="43790E83" w14:textId="77777777">
      <w:pPr>
        <w:pStyle w:val="Body"/>
        <w:spacing w:after="0" w:line="259" w:lineRule="auto"/>
        <w:ind w:left="720"/>
        <w:rPr>
          <w:rFonts w:asciiTheme="minorHAnsi" w:hAnsiTheme="minorHAnsi" w:cstheme="minorHAnsi"/>
          <w:sz w:val="22"/>
          <w:szCs w:val="22"/>
        </w:rPr>
      </w:pPr>
    </w:p>
    <w:p w:rsidRPr="001D5921" w:rsidR="00AC68B4" w:rsidP="004F73EB" w:rsidRDefault="00AC68B4" w14:paraId="17D5007F" w14:textId="4457C899">
      <w:pPr>
        <w:pStyle w:val="Header2"/>
        <w:rPr>
          <w:rFonts w:asciiTheme="minorHAnsi" w:hAnsiTheme="minorHAnsi" w:cstheme="minorHAnsi"/>
          <w:color w:val="auto"/>
          <w:sz w:val="22"/>
        </w:rPr>
      </w:pPr>
      <w:r w:rsidRPr="001D5921">
        <w:rPr>
          <w:rFonts w:asciiTheme="minorHAnsi" w:hAnsiTheme="minorHAnsi" w:cstheme="minorHAnsi"/>
          <w:color w:val="auto"/>
          <w:sz w:val="22"/>
        </w:rPr>
        <w:t xml:space="preserve">Key Talking Points: </w:t>
      </w:r>
    </w:p>
    <w:p w:rsidRPr="001D5921" w:rsidR="00AC68B4" w:rsidP="001D5921" w:rsidRDefault="00AC68B4" w14:paraId="600701D1" w14:textId="6CEC0C62">
      <w:pPr>
        <w:pStyle w:val="BulletPoints"/>
        <w:numPr>
          <w:ilvl w:val="0"/>
          <w:numId w:val="23"/>
        </w:numPr>
        <w:rPr>
          <w:rFonts w:asciiTheme="minorHAnsi" w:hAnsiTheme="minorHAnsi" w:cstheme="minorHAnsi"/>
          <w:sz w:val="22"/>
          <w:szCs w:val="22"/>
        </w:rPr>
      </w:pPr>
      <w:r w:rsidRPr="001D5921">
        <w:rPr>
          <w:rFonts w:asciiTheme="minorHAnsi" w:hAnsiTheme="minorHAnsi" w:cstheme="minorHAnsi"/>
          <w:sz w:val="22"/>
          <w:szCs w:val="22"/>
        </w:rPr>
        <w:t>Overdrafts</w:t>
      </w:r>
      <w:r w:rsidRPr="001D5921" w:rsidR="007E6534">
        <w:rPr>
          <w:rFonts w:asciiTheme="minorHAnsi" w:hAnsiTheme="minorHAnsi" w:cstheme="minorHAnsi"/>
          <w:sz w:val="22"/>
          <w:szCs w:val="22"/>
        </w:rPr>
        <w:t xml:space="preserve"> &amp; NSF</w:t>
      </w:r>
      <w:r w:rsidRPr="001D5921">
        <w:rPr>
          <w:rFonts w:asciiTheme="minorHAnsi" w:hAnsiTheme="minorHAnsi" w:cstheme="minorHAnsi"/>
          <w:sz w:val="22"/>
          <w:szCs w:val="22"/>
        </w:rPr>
        <w:t xml:space="preserve"> Fees </w:t>
      </w:r>
    </w:p>
    <w:p w:rsidRPr="001D5921" w:rsidR="00AC68B4" w:rsidP="001D5921" w:rsidRDefault="00AC68B4" w14:paraId="5B473CAE" w14:textId="77777777">
      <w:pPr>
        <w:pStyle w:val="BulletPoints"/>
        <w:numPr>
          <w:ilvl w:val="0"/>
          <w:numId w:val="25"/>
        </w:numPr>
        <w:rPr>
          <w:rFonts w:asciiTheme="minorHAnsi" w:hAnsiTheme="minorHAnsi" w:cstheme="minorHAnsi"/>
          <w:sz w:val="22"/>
          <w:szCs w:val="22"/>
        </w:rPr>
      </w:pPr>
      <w:r w:rsidRPr="001D5921">
        <w:rPr>
          <w:rFonts w:asciiTheme="minorHAnsi" w:hAnsiTheme="minorHAnsi" w:cstheme="minorHAnsi"/>
          <w:sz w:val="22"/>
          <w:szCs w:val="22"/>
        </w:rPr>
        <w:t>ICBA has cited survey data from consumers that indicates an intentional decision for consumers’ use of overdraft services and demonstrates an aversion to regulatory restrictions that would curtail overdraft programs.</w:t>
      </w:r>
    </w:p>
    <w:p w:rsidRPr="001D5921" w:rsidR="00AC68B4" w:rsidP="001D5921" w:rsidRDefault="00AC68B4" w14:paraId="507AD935" w14:textId="20A7195A">
      <w:pPr>
        <w:pStyle w:val="BulletPoints"/>
        <w:numPr>
          <w:ilvl w:val="0"/>
          <w:numId w:val="25"/>
        </w:numPr>
        <w:rPr>
          <w:rFonts w:asciiTheme="minorHAnsi" w:hAnsiTheme="minorHAnsi" w:cstheme="minorHAnsi"/>
          <w:sz w:val="22"/>
          <w:szCs w:val="22"/>
        </w:rPr>
      </w:pPr>
      <w:r w:rsidRPr="001D5921">
        <w:rPr>
          <w:rFonts w:asciiTheme="minorHAnsi" w:hAnsiTheme="minorHAnsi" w:cstheme="minorHAnsi"/>
          <w:sz w:val="22"/>
          <w:szCs w:val="22"/>
        </w:rPr>
        <w:t xml:space="preserve">We will continue to push back and will respond to the rulemaking. We will also continue to </w:t>
      </w:r>
      <w:r w:rsidRPr="001D5921" w:rsidR="00987C99">
        <w:rPr>
          <w:rFonts w:asciiTheme="minorHAnsi" w:hAnsiTheme="minorHAnsi" w:cstheme="minorHAnsi"/>
          <w:sz w:val="22"/>
          <w:szCs w:val="22"/>
        </w:rPr>
        <w:t>engage</w:t>
      </w:r>
      <w:r w:rsidRPr="001D5921">
        <w:rPr>
          <w:rFonts w:asciiTheme="minorHAnsi" w:hAnsiTheme="minorHAnsi" w:cstheme="minorHAnsi"/>
          <w:sz w:val="22"/>
          <w:szCs w:val="22"/>
        </w:rPr>
        <w:t xml:space="preserve"> </w:t>
      </w:r>
      <w:r w:rsidRPr="001D5921" w:rsidR="00987C99">
        <w:rPr>
          <w:rFonts w:asciiTheme="minorHAnsi" w:hAnsiTheme="minorHAnsi" w:cstheme="minorHAnsi"/>
          <w:sz w:val="22"/>
          <w:szCs w:val="22"/>
        </w:rPr>
        <w:t>the agencies</w:t>
      </w:r>
      <w:r w:rsidRPr="001D5921">
        <w:rPr>
          <w:rFonts w:asciiTheme="minorHAnsi" w:hAnsiTheme="minorHAnsi" w:cstheme="minorHAnsi"/>
          <w:sz w:val="22"/>
          <w:szCs w:val="22"/>
        </w:rPr>
        <w:t xml:space="preserve"> on the practical uses of overdraft services and continue underscoring that customers leverage these services as part of their normal financial planning activities.</w:t>
      </w:r>
    </w:p>
    <w:p w:rsidRPr="001D5921" w:rsidR="007E6534" w:rsidP="001D5921" w:rsidRDefault="00AC68B4" w14:paraId="2DD560FC" w14:textId="5E987E0D">
      <w:pPr>
        <w:pStyle w:val="BulletPoints"/>
        <w:numPr>
          <w:ilvl w:val="0"/>
          <w:numId w:val="5"/>
        </w:numPr>
        <w:rPr>
          <w:rFonts w:asciiTheme="minorHAnsi" w:hAnsiTheme="minorHAnsi" w:cstheme="minorHAnsi"/>
          <w:sz w:val="22"/>
          <w:szCs w:val="22"/>
        </w:rPr>
      </w:pPr>
      <w:r w:rsidRPr="001D5921">
        <w:rPr>
          <w:rFonts w:asciiTheme="minorHAnsi" w:hAnsiTheme="minorHAnsi" w:cstheme="minorHAnsi"/>
          <w:sz w:val="22"/>
          <w:szCs w:val="22"/>
        </w:rPr>
        <w:t>Represented Item Fee</w:t>
      </w:r>
    </w:p>
    <w:p w:rsidRPr="001D5921" w:rsidR="00AC68B4" w:rsidP="001D5921" w:rsidRDefault="00AC68B4" w14:paraId="7D14450E" w14:textId="0AA485CE">
      <w:pPr>
        <w:pStyle w:val="BulletPoints"/>
        <w:rPr>
          <w:rFonts w:asciiTheme="minorHAnsi" w:hAnsiTheme="minorHAnsi" w:cstheme="minorHAnsi"/>
          <w:sz w:val="22"/>
          <w:szCs w:val="22"/>
        </w:rPr>
      </w:pPr>
      <w:r w:rsidRPr="001D5921">
        <w:rPr>
          <w:rFonts w:asciiTheme="minorHAnsi" w:hAnsiTheme="minorHAnsi" w:cstheme="minorHAnsi"/>
          <w:sz w:val="22"/>
          <w:szCs w:val="22"/>
        </w:rPr>
        <w:t>ICBA and leadership bankers met with key senior personnel at the FDIC, OCC, and FRB. Our meetings focused on the lack of readiness of core service providers, the structural and operational obstacles associated with accurately identifying and stopping fees from being assessed, the abruptness of the policy change on a practice that has existed for years, and the policy implications the position will have on consumers.  </w:t>
      </w:r>
    </w:p>
    <w:p w:rsidRPr="001D5921" w:rsidR="00AC68B4" w:rsidP="001D5921" w:rsidRDefault="00AC68B4" w14:paraId="0DAA22B9" w14:textId="77777777">
      <w:pPr>
        <w:pStyle w:val="BulletPoints"/>
        <w:rPr>
          <w:rFonts w:asciiTheme="minorHAnsi" w:hAnsiTheme="minorHAnsi" w:cstheme="minorHAnsi"/>
          <w:sz w:val="22"/>
          <w:szCs w:val="22"/>
        </w:rPr>
      </w:pPr>
      <w:r w:rsidRPr="001D5921">
        <w:rPr>
          <w:rFonts w:asciiTheme="minorHAnsi" w:hAnsiTheme="minorHAnsi" w:cstheme="minorHAnsi"/>
          <w:sz w:val="22"/>
          <w:szCs w:val="22"/>
        </w:rPr>
        <w:t>We urged each agency to:</w:t>
      </w:r>
    </w:p>
    <w:p w:rsidRPr="001D5921" w:rsidR="00AC68B4" w:rsidP="001D5921" w:rsidRDefault="00AC68B4" w14:paraId="5302D7C4" w14:textId="77777777">
      <w:pPr>
        <w:pStyle w:val="ListParagraph"/>
        <w:numPr>
          <w:ilvl w:val="0"/>
          <w:numId w:val="26"/>
        </w:numPr>
        <w:rPr>
          <w:rFonts w:cstheme="minorHAnsi"/>
          <w:bCs/>
        </w:rPr>
      </w:pPr>
      <w:r w:rsidRPr="001D5921">
        <w:rPr>
          <w:rFonts w:cstheme="minorHAnsi"/>
          <w:bCs/>
        </w:rPr>
        <w:t>Refrain from levying any retroactive action.</w:t>
      </w:r>
    </w:p>
    <w:p w:rsidRPr="001D5921" w:rsidR="00AC68B4" w:rsidP="001D5921" w:rsidRDefault="00AC68B4" w14:paraId="2F1C5BC3" w14:textId="77777777">
      <w:pPr>
        <w:pStyle w:val="ListParagraph"/>
        <w:numPr>
          <w:ilvl w:val="0"/>
          <w:numId w:val="26"/>
        </w:numPr>
        <w:rPr>
          <w:rFonts w:cstheme="minorHAnsi"/>
          <w:bCs/>
        </w:rPr>
      </w:pPr>
      <w:r w:rsidRPr="001D5921">
        <w:rPr>
          <w:rFonts w:cstheme="minorHAnsi"/>
          <w:bCs/>
        </w:rPr>
        <w:t>Allow r</w:t>
      </w:r>
      <w:r w:rsidRPr="001D5921">
        <w:rPr>
          <w:rFonts w:eastAsia="Calibri" w:cstheme="minorHAnsi"/>
          <w:bCs/>
        </w:rPr>
        <w:t>easonable time for community banks to update disclosures and practices to allow them the opportunity to adhere to the guidance.</w:t>
      </w:r>
    </w:p>
    <w:p w:rsidRPr="001D5921" w:rsidR="00AC68B4" w:rsidP="001D5921" w:rsidRDefault="00AC68B4" w14:paraId="6DF90E58" w14:textId="77777777">
      <w:pPr>
        <w:pStyle w:val="ListParagraph"/>
        <w:numPr>
          <w:ilvl w:val="0"/>
          <w:numId w:val="26"/>
        </w:numPr>
        <w:rPr>
          <w:rFonts w:cstheme="minorHAnsi"/>
          <w:bCs/>
        </w:rPr>
      </w:pPr>
      <w:r w:rsidRPr="001D5921">
        <w:rPr>
          <w:rFonts w:eastAsia="Calibri" w:cstheme="minorHAnsi"/>
          <w:bCs/>
        </w:rPr>
        <w:t>Allow banks the time needed to work with core service providers (or in house) to develop a system to identify and reject represented items.</w:t>
      </w:r>
    </w:p>
    <w:p w:rsidRPr="001D5921" w:rsidR="00AC68B4" w:rsidP="001D5921" w:rsidRDefault="00AC68B4" w14:paraId="06A84341" w14:textId="77777777">
      <w:pPr>
        <w:pStyle w:val="ListParagraph"/>
        <w:numPr>
          <w:ilvl w:val="0"/>
          <w:numId w:val="26"/>
        </w:numPr>
        <w:rPr>
          <w:rFonts w:cstheme="minorHAnsi"/>
          <w:bCs/>
        </w:rPr>
      </w:pPr>
      <w:r w:rsidRPr="001D5921">
        <w:rPr>
          <w:rFonts w:eastAsia="Calibri" w:cstheme="minorHAnsi"/>
          <w:bCs/>
        </w:rPr>
        <w:t xml:space="preserve">Issue no findings, including UDAP violations, while banks update their disclosures and practices. </w:t>
      </w:r>
    </w:p>
    <w:p w:rsidRPr="001D5921" w:rsidR="00AC68B4" w:rsidP="001D5921" w:rsidRDefault="00AC68B4" w14:paraId="0028BCB4" w14:textId="77777777">
      <w:pPr>
        <w:pStyle w:val="ListParagraph"/>
        <w:numPr>
          <w:ilvl w:val="0"/>
          <w:numId w:val="26"/>
        </w:numPr>
        <w:rPr>
          <w:rStyle w:val="eop"/>
          <w:rFonts w:cstheme="minorHAnsi"/>
        </w:rPr>
      </w:pPr>
      <w:r w:rsidRPr="001D5921">
        <w:rPr>
          <w:rStyle w:val="normaltextrun"/>
          <w:rFonts w:cstheme="minorHAnsi"/>
        </w:rPr>
        <w:t>Refrain from issuing corrective actions or any other regulatory findings for at least one year.</w:t>
      </w:r>
      <w:r w:rsidRPr="001D5921">
        <w:rPr>
          <w:rStyle w:val="eop"/>
          <w:rFonts w:cstheme="minorHAnsi"/>
        </w:rPr>
        <w:t> </w:t>
      </w:r>
    </w:p>
    <w:p w:rsidRPr="001D5921" w:rsidR="00AC68B4" w:rsidP="001D5921" w:rsidRDefault="00AC68B4" w14:paraId="35DBFFB0" w14:textId="77777777">
      <w:pPr>
        <w:pStyle w:val="ListParagraph"/>
        <w:numPr>
          <w:ilvl w:val="0"/>
          <w:numId w:val="26"/>
        </w:numPr>
        <w:rPr>
          <w:rStyle w:val="eop"/>
          <w:rFonts w:cstheme="minorHAnsi"/>
          <w:bCs/>
        </w:rPr>
      </w:pPr>
      <w:r w:rsidRPr="001D5921">
        <w:rPr>
          <w:rStyle w:val="normaltextrun"/>
          <w:rFonts w:cstheme="minorHAnsi"/>
        </w:rPr>
        <w:t>Provide supervised institutions with the specific language the agencies deem is missing from disclosures.</w:t>
      </w:r>
      <w:r w:rsidRPr="001D5921">
        <w:rPr>
          <w:rStyle w:val="eop"/>
          <w:rFonts w:cstheme="minorHAnsi"/>
        </w:rPr>
        <w:t> </w:t>
      </w:r>
    </w:p>
    <w:p w:rsidRPr="001D5921" w:rsidR="00AC68B4" w:rsidP="001D5921" w:rsidRDefault="00AC68B4" w14:paraId="0F3DACFC" w14:textId="51238E7C">
      <w:pPr>
        <w:pStyle w:val="ListParagraph"/>
        <w:numPr>
          <w:ilvl w:val="0"/>
          <w:numId w:val="26"/>
        </w:numPr>
        <w:rPr>
          <w:rStyle w:val="normaltextrun"/>
          <w:rFonts w:cstheme="minorHAnsi"/>
        </w:rPr>
      </w:pPr>
      <w:r w:rsidRPr="001D5921">
        <w:rPr>
          <w:rStyle w:val="normaltextrun"/>
          <w:rFonts w:cstheme="minorHAnsi"/>
        </w:rPr>
        <w:t>Allow notice mechanisms that banks use to keep customers aware of their account status to automatically eliminate the threat of a UDAP violation.</w:t>
      </w:r>
    </w:p>
    <w:p w:rsidR="000F0B58" w:rsidP="000F0B58" w:rsidRDefault="000F0B58" w14:paraId="2CB21A1E" w14:textId="77777777">
      <w:pPr>
        <w:spacing w:line="256" w:lineRule="auto"/>
        <w:rPr>
          <w:rFonts w:cs="Arial"/>
        </w:rPr>
      </w:pPr>
    </w:p>
    <w:p w:rsidR="000F0B58" w:rsidP="000F0B58" w:rsidRDefault="000F0B58" w14:paraId="71342743" w14:textId="77777777">
      <w:pPr>
        <w:spacing w:line="256" w:lineRule="auto"/>
        <w:rPr>
          <w:rFonts w:cs="Arial"/>
        </w:rPr>
      </w:pPr>
    </w:p>
    <w:p w:rsidRPr="000F0B58" w:rsidR="000F0B58" w:rsidP="000F0B58" w:rsidRDefault="000F0B58" w14:paraId="325EF8B5" w14:textId="77777777">
      <w:pPr>
        <w:spacing w:line="256" w:lineRule="auto"/>
        <w:rPr>
          <w:rFonts w:cs="Arial"/>
          <w:bCs/>
        </w:rPr>
      </w:pPr>
    </w:p>
    <w:p w:rsidRPr="000F0B58" w:rsidR="000F0B58" w:rsidP="000F0B58" w:rsidRDefault="000F0B58" w14:paraId="18A10D65" w14:textId="77777777">
      <w:pPr>
        <w:spacing w:line="256" w:lineRule="auto"/>
        <w:rPr>
          <w:rFonts w:cs="Arial"/>
          <w:bCs/>
        </w:rPr>
      </w:pPr>
    </w:p>
    <w:p w:rsidRPr="000F0B58" w:rsidR="000F0B58" w:rsidP="000F0B58" w:rsidRDefault="000F0B58" w14:paraId="18B6E2B3" w14:textId="77777777">
      <w:pPr>
        <w:spacing w:line="256" w:lineRule="auto"/>
        <w:rPr>
          <w:rFonts w:cs="Arial"/>
        </w:rPr>
      </w:pPr>
    </w:p>
    <w:sectPr w:rsidRPr="000F0B58" w:rsidR="000F0B58" w:rsidSect="00BA1127">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1077" w:right="1080" w:bottom="1440" w:left="1080" w:header="720" w:footer="720" w:gutter="0"/>
      <w:pgNumType w:start="1"/>
      <w:cols w:space="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1127" w:rsidP="00F04057" w:rsidRDefault="00BA1127" w14:paraId="2B8B3CA7" w14:textId="77777777">
      <w:r>
        <w:separator/>
      </w:r>
    </w:p>
    <w:p w:rsidR="00BA1127" w:rsidRDefault="00BA1127" w14:paraId="17A2A697" w14:textId="77777777"/>
  </w:endnote>
  <w:endnote w:type="continuationSeparator" w:id="0">
    <w:p w:rsidR="00BA1127" w:rsidP="00F04057" w:rsidRDefault="00BA1127" w14:paraId="352D4B95" w14:textId="77777777">
      <w:r>
        <w:continuationSeparator/>
      </w:r>
    </w:p>
    <w:p w:rsidR="00BA1127" w:rsidRDefault="00BA1127" w14:paraId="25B96A1F" w14:textId="77777777"/>
  </w:endnote>
  <w:endnote w:type="continuationNotice" w:id="1">
    <w:p w:rsidR="00BA1127" w:rsidRDefault="00BA1127" w14:paraId="20727B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800799"/>
      <w:docPartObj>
        <w:docPartGallery w:val="Page Numbers (Bottom of Page)"/>
        <w:docPartUnique/>
      </w:docPartObj>
    </w:sdtPr>
    <w:sdtEndPr>
      <w:rPr>
        <w:rStyle w:val="PageNumber"/>
      </w:rPr>
    </w:sdtEndPr>
    <w:sdtContent>
      <w:p w:rsidR="0074747E" w:rsidP="00D570F4" w:rsidRDefault="0074747E" w14:paraId="1D96934E" w14:textId="77777777">
        <w:pP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sdt>
    <w:sdtPr>
      <w:rPr>
        <w:rStyle w:val="PageNumber"/>
      </w:rPr>
      <w:id w:val="-178892496"/>
      <w:docPartObj>
        <w:docPartGallery w:val="Page Numbers (Bottom of Page)"/>
        <w:docPartUnique/>
      </w:docPartObj>
    </w:sdtPr>
    <w:sdtEndPr>
      <w:rPr>
        <w:rStyle w:val="PageNumber"/>
      </w:rPr>
    </w:sdtEndPr>
    <w:sdtContent>
      <w:p w:rsidR="0074747E" w:rsidP="0074747E" w:rsidRDefault="0074747E" w14:paraId="349DD06F" w14:textId="77777777">
        <w:pP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p w:rsidR="0074747E" w:rsidP="0074747E" w:rsidRDefault="0074747E" w14:paraId="2551F589" w14:textId="77777777">
    <w:pPr>
      <w:ind w:right="360"/>
    </w:pPr>
  </w:p>
  <w:p w:rsidR="00E66AAE" w:rsidRDefault="00E66AAE" w14:paraId="54455FF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46CAE" w:rsidR="00F04057" w:rsidP="00546CAE" w:rsidRDefault="00546CAE" w14:paraId="44DFAB2F" w14:textId="77777777">
    <w:pPr>
      <w:pStyle w:val="Footer"/>
    </w:pPr>
    <w:r>
      <w:rPr>
        <w:noProof/>
      </w:rPr>
      <w:drawing>
        <wp:inline distT="0" distB="0" distL="0" distR="0" wp14:anchorId="0D360615" wp14:editId="6C940F7F">
          <wp:extent cx="6400800" cy="853440"/>
          <wp:effectExtent l="0" t="0" r="0" b="0"/>
          <wp:docPr id="1922629712" name="Picture 1922629712" descr="ICBA contact information 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57274" name="Picture 3" descr="ICBA contact information footer "/>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417DA" w:rsidR="00CD0AA8" w:rsidP="00546CAE" w:rsidRDefault="00546CAE" w14:paraId="7DEE2412" w14:textId="77777777">
    <w:pPr>
      <w:pStyle w:val="BasicParagraph"/>
      <w:tabs>
        <w:tab w:val="left" w:pos="720"/>
        <w:tab w:val="left" w:pos="1440"/>
        <w:tab w:val="left" w:pos="2160"/>
        <w:tab w:val="left" w:pos="2880"/>
        <w:tab w:val="left" w:pos="3600"/>
        <w:tab w:val="right" w:pos="8812"/>
      </w:tabs>
      <w:rPr>
        <w:rFonts w:ascii="Arial" w:hAnsi="Arial" w:cs="Arial"/>
        <w:color w:val="000000" w:themeColor="text1"/>
        <w:sz w:val="16"/>
        <w:szCs w:val="16"/>
      </w:rPr>
    </w:pPr>
    <w:r>
      <w:rPr>
        <w:rFonts w:ascii="Arial" w:hAnsi="Arial" w:cs="Arial"/>
        <w:noProof/>
        <w:color w:val="000000" w:themeColor="text1"/>
        <w:sz w:val="16"/>
        <w:szCs w:val="16"/>
      </w:rPr>
      <w:drawing>
        <wp:inline distT="0" distB="0" distL="0" distR="0" wp14:anchorId="2B484D95" wp14:editId="0FD50601">
          <wp:extent cx="6400800" cy="853440"/>
          <wp:effectExtent l="0" t="0" r="0" b="0"/>
          <wp:docPr id="24206824" name="Picture 24206824" descr="ICBA contact information 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72963" name="Picture 2" descr="ICBA contact information footer "/>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1127" w:rsidP="00F04057" w:rsidRDefault="00BA1127" w14:paraId="26BF109A" w14:textId="77777777">
      <w:r>
        <w:separator/>
      </w:r>
    </w:p>
    <w:p w:rsidR="00BA1127" w:rsidRDefault="00BA1127" w14:paraId="0AEC9CE5" w14:textId="77777777"/>
  </w:footnote>
  <w:footnote w:type="continuationSeparator" w:id="0">
    <w:p w:rsidR="00BA1127" w:rsidP="00F04057" w:rsidRDefault="00BA1127" w14:paraId="1D0A5EB1" w14:textId="77777777">
      <w:r>
        <w:continuationSeparator/>
      </w:r>
    </w:p>
    <w:p w:rsidR="00BA1127" w:rsidRDefault="00BA1127" w14:paraId="31DF6F83" w14:textId="77777777"/>
  </w:footnote>
  <w:footnote w:type="continuationNotice" w:id="1">
    <w:p w:rsidR="00BA1127" w:rsidRDefault="00BA1127" w14:paraId="362888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0109" w:rsidRDefault="00920109" w14:paraId="44365077" w14:textId="77777777">
    <w:pPr>
      <w:pStyle w:val="Header"/>
    </w:pPr>
  </w:p>
  <w:p w:rsidR="00E66AAE" w:rsidRDefault="00E66AAE" w14:paraId="72B9CD2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0109" w:rsidRDefault="00920109" w14:paraId="6FDF9F99" w14:textId="77777777">
    <w:pPr>
      <w:pStyle w:val="Header"/>
    </w:pPr>
  </w:p>
  <w:p w:rsidR="00E66AAE" w:rsidRDefault="00E66AAE" w14:paraId="70FAACCF"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0AA8" w:rsidRDefault="00546CAE" w14:paraId="31292225" w14:textId="77777777">
    <w:r>
      <w:rPr>
        <w:noProof/>
      </w:rPr>
      <w:drawing>
        <wp:inline distT="0" distB="0" distL="0" distR="0" wp14:anchorId="07235A00" wp14:editId="724063F9">
          <wp:extent cx="4146550" cy="853440"/>
          <wp:effectExtent l="0" t="0" r="0" b="0"/>
          <wp:docPr id="795863665" name="Picture 79586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63665" name="Picture 795863665"/>
                  <pic:cNvPicPr/>
                </pic:nvPicPr>
                <pic:blipFill rotWithShape="1">
                  <a:blip r:embed="rId1">
                    <a:extLst>
                      <a:ext uri="{28A0092B-C50C-407E-A947-70E740481C1C}">
                        <a14:useLocalDpi xmlns:a14="http://schemas.microsoft.com/office/drawing/2010/main" val="0"/>
                      </a:ext>
                    </a:extLst>
                  </a:blip>
                  <a:srcRect r="35218"/>
                  <a:stretch/>
                </pic:blipFill>
                <pic:spPr bwMode="auto">
                  <a:xfrm>
                    <a:off x="0" y="0"/>
                    <a:ext cx="4146550" cy="853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A90"/>
    <w:multiLevelType w:val="hybridMultilevel"/>
    <w:tmpl w:val="1F2680CA"/>
    <w:lvl w:ilvl="0" w:tplc="0409000B">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B340BFF"/>
    <w:multiLevelType w:val="hybridMultilevel"/>
    <w:tmpl w:val="218AFE12"/>
    <w:lvl w:ilvl="0" w:tplc="FFFFFFFF">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3">
      <w:start w:val="1"/>
      <w:numFmt w:val="bullet"/>
      <w:lvlText w:val="o"/>
      <w:lvlJc w:val="left"/>
      <w:pPr>
        <w:ind w:left="3600" w:hanging="360"/>
      </w:pPr>
      <w:rPr>
        <w:rFonts w:hint="default" w:ascii="Courier New" w:hAnsi="Courier New" w:cs="Courier New"/>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DD7260C"/>
    <w:multiLevelType w:val="hybridMultilevel"/>
    <w:tmpl w:val="11C03366"/>
    <w:lvl w:ilvl="0" w:tplc="FFFFFFFF">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FFFFFFFF">
      <w:start w:val="1"/>
      <w:numFmt w:val="bullet"/>
      <w:lvlText w:val="o"/>
      <w:lvlJc w:val="left"/>
      <w:pPr>
        <w:ind w:left="3600" w:hanging="360"/>
      </w:pPr>
      <w:rPr>
        <w:rFonts w:hint="default" w:ascii="Courier New" w:hAnsi="Courier New" w:cs="Courier New"/>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E3A08E5"/>
    <w:multiLevelType w:val="hybridMultilevel"/>
    <w:tmpl w:val="1B5262F0"/>
    <w:lvl w:ilvl="0" w:tplc="04090005">
      <w:start w:val="1"/>
      <w:numFmt w:val="bullet"/>
      <w:lvlText w:val=""/>
      <w:lvlJc w:val="left"/>
      <w:pPr>
        <w:ind w:left="1800" w:hanging="360"/>
      </w:pPr>
      <w:rPr>
        <w:rFonts w:hint="default" w:ascii="Wingdings" w:hAnsi="Wingdings"/>
      </w:rPr>
    </w:lvl>
    <w:lvl w:ilvl="1" w:tplc="FFFFFFFF">
      <w:start w:val="1"/>
      <w:numFmt w:val="bullet"/>
      <w:lvlText w:val=""/>
      <w:lvlJc w:val="left"/>
      <w:pPr>
        <w:ind w:left="3240" w:hanging="360"/>
      </w:pPr>
      <w:rPr>
        <w:rFonts w:hint="default" w:ascii="Wingdings" w:hAnsi="Wingdings"/>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4" w15:restartNumberingAfterBreak="0">
    <w:nsid w:val="194654BF"/>
    <w:multiLevelType w:val="hybridMultilevel"/>
    <w:tmpl w:val="9552F5CA"/>
    <w:lvl w:ilvl="0" w:tplc="FFFFFFFF">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FFFFFFFF">
      <w:start w:val="1"/>
      <w:numFmt w:val="bullet"/>
      <w:lvlText w:val="o"/>
      <w:lvlJc w:val="left"/>
      <w:pPr>
        <w:ind w:left="3600" w:hanging="360"/>
      </w:pPr>
      <w:rPr>
        <w:rFonts w:hint="default" w:ascii="Courier New" w:hAnsi="Courier New" w:cs="Courier New"/>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9627522"/>
    <w:multiLevelType w:val="hybridMultilevel"/>
    <w:tmpl w:val="38C2BA0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950E3A"/>
    <w:multiLevelType w:val="hybridMultilevel"/>
    <w:tmpl w:val="138C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5C3405"/>
    <w:multiLevelType w:val="hybridMultilevel"/>
    <w:tmpl w:val="0DEEDB96"/>
    <w:lvl w:ilvl="0" w:tplc="C57A630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B8004D3"/>
    <w:multiLevelType w:val="hybridMultilevel"/>
    <w:tmpl w:val="1696FD0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6017CCF"/>
    <w:multiLevelType w:val="hybridMultilevel"/>
    <w:tmpl w:val="2A544390"/>
    <w:lvl w:ilvl="0" w:tplc="3C0613EE">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DB744F4"/>
    <w:multiLevelType w:val="hybridMultilevel"/>
    <w:tmpl w:val="955EB774"/>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B">
      <w:start w:val="1"/>
      <w:numFmt w:val="bullet"/>
      <w:lvlText w:val=""/>
      <w:lvlJc w:val="left"/>
      <w:pPr>
        <w:ind w:left="2880" w:hanging="360"/>
      </w:pPr>
      <w:rPr>
        <w:rFonts w:hint="default" w:ascii="Wingdings" w:hAnsi="Wingdings"/>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E737CBB"/>
    <w:multiLevelType w:val="hybridMultilevel"/>
    <w:tmpl w:val="7F484E5E"/>
    <w:lvl w:ilvl="0" w:tplc="FFFFFFFF">
      <w:start w:val="1"/>
      <w:numFmt w:val="bullet"/>
      <w:lvlText w:val="o"/>
      <w:lvlJc w:val="left"/>
      <w:pPr>
        <w:ind w:left="2160" w:hanging="360"/>
      </w:pPr>
      <w:rPr>
        <w:rFonts w:hint="default" w:ascii="Courier New" w:hAnsi="Courier New" w:cs="Courier New"/>
      </w:rPr>
    </w:lvl>
    <w:lvl w:ilvl="1" w:tplc="FFFFFFFF" w:tentative="1">
      <w:start w:val="1"/>
      <w:numFmt w:val="bullet"/>
      <w:lvlText w:val="o"/>
      <w:lvlJc w:val="left"/>
      <w:pPr>
        <w:ind w:left="288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12" w15:restartNumberingAfterBreak="0">
    <w:nsid w:val="3F2069F3"/>
    <w:multiLevelType w:val="hybridMultilevel"/>
    <w:tmpl w:val="B880BE82"/>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43A960B4"/>
    <w:multiLevelType w:val="hybridMultilevel"/>
    <w:tmpl w:val="62F6F9E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4" w15:restartNumberingAfterBreak="0">
    <w:nsid w:val="49271FF9"/>
    <w:multiLevelType w:val="hybridMultilevel"/>
    <w:tmpl w:val="C23E60A6"/>
    <w:lvl w:ilvl="0" w:tplc="172407B8">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51225334"/>
    <w:multiLevelType w:val="hybridMultilevel"/>
    <w:tmpl w:val="710EB8D6"/>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53506E8D"/>
    <w:multiLevelType w:val="hybridMultilevel"/>
    <w:tmpl w:val="856E65F4"/>
    <w:lvl w:ilvl="0" w:tplc="D55825B2">
      <w:start w:val="1"/>
      <w:numFmt w:val="bullet"/>
      <w:pStyle w:val="BulletPoints"/>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6F9537E"/>
    <w:multiLevelType w:val="hybridMultilevel"/>
    <w:tmpl w:val="97ECBEE2"/>
    <w:lvl w:ilvl="0" w:tplc="FFFFFFFF">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FFFFFFFF">
      <w:start w:val="1"/>
      <w:numFmt w:val="bullet"/>
      <w:lvlText w:val="o"/>
      <w:lvlJc w:val="left"/>
      <w:pPr>
        <w:ind w:left="3600" w:hanging="360"/>
      </w:pPr>
      <w:rPr>
        <w:rFonts w:hint="default" w:ascii="Courier New" w:hAnsi="Courier New" w:cs="Courier New"/>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59EA2477"/>
    <w:multiLevelType w:val="hybridMultilevel"/>
    <w:tmpl w:val="3C643052"/>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5A023B1B"/>
    <w:multiLevelType w:val="hybridMultilevel"/>
    <w:tmpl w:val="343E7CF0"/>
    <w:lvl w:ilvl="0" w:tplc="6D6AEC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D303FA0"/>
    <w:multiLevelType w:val="hybridMultilevel"/>
    <w:tmpl w:val="EA020584"/>
    <w:lvl w:ilvl="0" w:tplc="04090009">
      <w:start w:val="1"/>
      <w:numFmt w:val="bullet"/>
      <w:lvlText w:val=""/>
      <w:lvlJc w:val="left"/>
      <w:pPr>
        <w:ind w:left="1800" w:hanging="360"/>
      </w:pPr>
      <w:rPr>
        <w:rFonts w:hint="default" w:ascii="Wingdings" w:hAnsi="Wingdings"/>
      </w:rPr>
    </w:lvl>
    <w:lvl w:ilvl="1" w:tplc="FFFFFFFF">
      <w:start w:val="1"/>
      <w:numFmt w:val="bullet"/>
      <w:lvlText w:val=""/>
      <w:lvlJc w:val="left"/>
      <w:pPr>
        <w:ind w:left="3240" w:hanging="360"/>
      </w:pPr>
      <w:rPr>
        <w:rFonts w:hint="default" w:ascii="Wingdings" w:hAnsi="Wingdings"/>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21" w15:restartNumberingAfterBreak="0">
    <w:nsid w:val="621D30A0"/>
    <w:multiLevelType w:val="hybridMultilevel"/>
    <w:tmpl w:val="735E6B1C"/>
    <w:lvl w:ilvl="0" w:tplc="04090005">
      <w:start w:val="1"/>
      <w:numFmt w:val="bullet"/>
      <w:lvlText w:val=""/>
      <w:lvlJc w:val="left"/>
      <w:pPr>
        <w:ind w:left="1800" w:hanging="360"/>
      </w:pPr>
      <w:rPr>
        <w:rFonts w:hint="default" w:ascii="Wingdings" w:hAnsi="Wingdings"/>
      </w:rPr>
    </w:lvl>
    <w:lvl w:ilvl="1" w:tplc="FFFFFFFF">
      <w:start w:val="1"/>
      <w:numFmt w:val="bullet"/>
      <w:lvlText w:val="o"/>
      <w:lvlJc w:val="left"/>
      <w:pPr>
        <w:ind w:left="2520" w:hanging="360"/>
      </w:pPr>
      <w:rPr>
        <w:rFonts w:hint="default" w:ascii="Courier New" w:hAnsi="Courier New" w:cs="Courier New"/>
      </w:rPr>
    </w:lvl>
    <w:lvl w:ilvl="2" w:tplc="FFFFFFFF">
      <w:start w:val="1"/>
      <w:numFmt w:val="bullet"/>
      <w:lvlText w:val=""/>
      <w:lvlJc w:val="left"/>
      <w:pPr>
        <w:ind w:left="3240" w:hanging="360"/>
      </w:pPr>
      <w:rPr>
        <w:rFonts w:hint="default" w:ascii="Wingdings" w:hAnsi="Wingdings"/>
      </w:rPr>
    </w:lvl>
    <w:lvl w:ilvl="3" w:tplc="FFFFFFFF">
      <w:start w:val="1"/>
      <w:numFmt w:val="bullet"/>
      <w:lvlText w:val=""/>
      <w:lvlJc w:val="left"/>
      <w:pPr>
        <w:ind w:left="3960" w:hanging="360"/>
      </w:pPr>
      <w:rPr>
        <w:rFonts w:hint="default" w:ascii="Symbol" w:hAnsi="Symbol"/>
      </w:rPr>
    </w:lvl>
    <w:lvl w:ilvl="4" w:tplc="FFFFFFFF">
      <w:start w:val="1"/>
      <w:numFmt w:val="bullet"/>
      <w:lvlText w:val="o"/>
      <w:lvlJc w:val="left"/>
      <w:pPr>
        <w:ind w:left="4680" w:hanging="360"/>
      </w:pPr>
      <w:rPr>
        <w:rFonts w:hint="default" w:ascii="Courier New" w:hAnsi="Courier New" w:cs="Courier New"/>
      </w:rPr>
    </w:lvl>
    <w:lvl w:ilvl="5" w:tplc="FFFFFFFF">
      <w:start w:val="1"/>
      <w:numFmt w:val="bullet"/>
      <w:lvlText w:val=""/>
      <w:lvlJc w:val="left"/>
      <w:pPr>
        <w:ind w:left="5400" w:hanging="360"/>
      </w:pPr>
      <w:rPr>
        <w:rFonts w:hint="default" w:ascii="Wingdings" w:hAnsi="Wingdings"/>
      </w:rPr>
    </w:lvl>
    <w:lvl w:ilvl="6" w:tplc="FFFFFFFF">
      <w:start w:val="1"/>
      <w:numFmt w:val="bullet"/>
      <w:lvlText w:val=""/>
      <w:lvlJc w:val="left"/>
      <w:pPr>
        <w:ind w:left="6120" w:hanging="360"/>
      </w:pPr>
      <w:rPr>
        <w:rFonts w:hint="default" w:ascii="Symbol" w:hAnsi="Symbol"/>
      </w:rPr>
    </w:lvl>
    <w:lvl w:ilvl="7" w:tplc="FFFFFFFF">
      <w:start w:val="1"/>
      <w:numFmt w:val="bullet"/>
      <w:lvlText w:val="o"/>
      <w:lvlJc w:val="left"/>
      <w:pPr>
        <w:ind w:left="6840" w:hanging="360"/>
      </w:pPr>
      <w:rPr>
        <w:rFonts w:hint="default" w:ascii="Courier New" w:hAnsi="Courier New" w:cs="Courier New"/>
      </w:rPr>
    </w:lvl>
    <w:lvl w:ilvl="8" w:tplc="FFFFFFFF">
      <w:start w:val="1"/>
      <w:numFmt w:val="bullet"/>
      <w:lvlText w:val=""/>
      <w:lvlJc w:val="left"/>
      <w:pPr>
        <w:ind w:left="7560" w:hanging="360"/>
      </w:pPr>
      <w:rPr>
        <w:rFonts w:hint="default" w:ascii="Wingdings" w:hAnsi="Wingdings"/>
      </w:rPr>
    </w:lvl>
  </w:abstractNum>
  <w:abstractNum w:abstractNumId="22" w15:restartNumberingAfterBreak="0">
    <w:nsid w:val="63EE5B20"/>
    <w:multiLevelType w:val="hybridMultilevel"/>
    <w:tmpl w:val="34F406AE"/>
    <w:lvl w:ilvl="0" w:tplc="0409000B">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6C7A4A19"/>
    <w:multiLevelType w:val="hybridMultilevel"/>
    <w:tmpl w:val="13B69D72"/>
    <w:lvl w:ilvl="0" w:tplc="04090009">
      <w:start w:val="1"/>
      <w:numFmt w:val="bullet"/>
      <w:lvlText w:val=""/>
      <w:lvlJc w:val="left"/>
      <w:pPr>
        <w:ind w:left="1440" w:hanging="360"/>
      </w:pPr>
      <w:rPr>
        <w:rFonts w:hint="default" w:ascii="Wingdings" w:hAnsi="Wingdings"/>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4" w15:restartNumberingAfterBreak="0">
    <w:nsid w:val="769E5157"/>
    <w:multiLevelType w:val="hybridMultilevel"/>
    <w:tmpl w:val="F95A89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78750152"/>
    <w:multiLevelType w:val="hybridMultilevel"/>
    <w:tmpl w:val="6FEAFD94"/>
    <w:lvl w:ilvl="0" w:tplc="04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6" w15:restartNumberingAfterBreak="0">
    <w:nsid w:val="79795A77"/>
    <w:multiLevelType w:val="hybridMultilevel"/>
    <w:tmpl w:val="BD643C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7E5A1C5E"/>
    <w:multiLevelType w:val="hybridMultilevel"/>
    <w:tmpl w:val="DECA7AF4"/>
    <w:lvl w:ilvl="0" w:tplc="FFFFFFFF">
      <w:start w:val="1"/>
      <w:numFmt w:val="bullet"/>
      <w:lvlText w:val=""/>
      <w:lvlJc w:val="left"/>
      <w:pPr>
        <w:ind w:left="720" w:hanging="360"/>
      </w:pPr>
      <w:rPr>
        <w:rFonts w:hint="default" w:ascii="Wingdings" w:hAnsi="Wingdings"/>
      </w:rPr>
    </w:lvl>
    <w:lvl w:ilvl="1" w:tplc="FFFFFFFF">
      <w:start w:val="1"/>
      <w:numFmt w:val="bullet"/>
      <w:lvlText w:val=""/>
      <w:lvlJc w:val="left"/>
      <w:pPr>
        <w:ind w:left="1440" w:hanging="360"/>
      </w:pPr>
      <w:rPr>
        <w:rFonts w:hint="default" w:ascii="Wingdings" w:hAnsi="Wingdings"/>
      </w:rPr>
    </w:lvl>
    <w:lvl w:ilvl="2" w:tplc="04090005">
      <w:start w:val="1"/>
      <w:numFmt w:val="bullet"/>
      <w:lvlText w:val=""/>
      <w:lvlJc w:val="left"/>
      <w:pPr>
        <w:ind w:left="1800" w:hanging="360"/>
      </w:pPr>
      <w:rPr>
        <w:rFonts w:hint="default" w:ascii="Wingdings" w:hAnsi="Wingdings"/>
      </w:rPr>
    </w:lvl>
    <w:lvl w:ilvl="3" w:tplc="FFFFFFFF">
      <w:start w:val="1"/>
      <w:numFmt w:val="bullet"/>
      <w:lvlText w:val="o"/>
      <w:lvlJc w:val="left"/>
      <w:pPr>
        <w:ind w:left="3600" w:hanging="360"/>
      </w:pPr>
      <w:rPr>
        <w:rFonts w:hint="default" w:ascii="Courier New" w:hAnsi="Courier New" w:cs="Courier New"/>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7FD613A4"/>
    <w:multiLevelType w:val="hybridMultilevel"/>
    <w:tmpl w:val="3E42C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81167481">
    <w:abstractNumId w:val="6"/>
  </w:num>
  <w:num w:numId="2" w16cid:durableId="713506399">
    <w:abstractNumId w:val="7"/>
  </w:num>
  <w:num w:numId="3" w16cid:durableId="1403410460">
    <w:abstractNumId w:val="19"/>
  </w:num>
  <w:num w:numId="4" w16cid:durableId="2090540545">
    <w:abstractNumId w:val="10"/>
  </w:num>
  <w:num w:numId="5" w16cid:durableId="485171165">
    <w:abstractNumId w:val="5"/>
  </w:num>
  <w:num w:numId="6" w16cid:durableId="106900855">
    <w:abstractNumId w:val="3"/>
  </w:num>
  <w:num w:numId="7" w16cid:durableId="1659267011">
    <w:abstractNumId w:val="1"/>
  </w:num>
  <w:num w:numId="8" w16cid:durableId="1589315945">
    <w:abstractNumId w:val="2"/>
  </w:num>
  <w:num w:numId="9" w16cid:durableId="2014380046">
    <w:abstractNumId w:val="4"/>
  </w:num>
  <w:num w:numId="10" w16cid:durableId="1818837728">
    <w:abstractNumId w:val="18"/>
  </w:num>
  <w:num w:numId="11" w16cid:durableId="1982996424">
    <w:abstractNumId w:val="27"/>
  </w:num>
  <w:num w:numId="12" w16cid:durableId="835534666">
    <w:abstractNumId w:val="21"/>
  </w:num>
  <w:num w:numId="13" w16cid:durableId="2146963984">
    <w:abstractNumId w:val="9"/>
  </w:num>
  <w:num w:numId="14" w16cid:durableId="1571651323">
    <w:abstractNumId w:val="12"/>
  </w:num>
  <w:num w:numId="15" w16cid:durableId="694842103">
    <w:abstractNumId w:val="14"/>
  </w:num>
  <w:num w:numId="16" w16cid:durableId="1344431728">
    <w:abstractNumId w:val="22"/>
  </w:num>
  <w:num w:numId="17" w16cid:durableId="471362770">
    <w:abstractNumId w:val="24"/>
  </w:num>
  <w:num w:numId="18" w16cid:durableId="1633753643">
    <w:abstractNumId w:val="13"/>
  </w:num>
  <w:num w:numId="19" w16cid:durableId="1662806323">
    <w:abstractNumId w:val="26"/>
  </w:num>
  <w:num w:numId="20" w16cid:durableId="1291979116">
    <w:abstractNumId w:val="8"/>
  </w:num>
  <w:num w:numId="21" w16cid:durableId="1568301843">
    <w:abstractNumId w:val="23"/>
  </w:num>
  <w:num w:numId="22" w16cid:durableId="1348093539">
    <w:abstractNumId w:val="28"/>
  </w:num>
  <w:num w:numId="23" w16cid:durableId="1200783305">
    <w:abstractNumId w:val="0"/>
  </w:num>
  <w:num w:numId="24" w16cid:durableId="1869709048">
    <w:abstractNumId w:val="16"/>
  </w:num>
  <w:num w:numId="25" w16cid:durableId="1715734452">
    <w:abstractNumId w:val="25"/>
  </w:num>
  <w:num w:numId="26" w16cid:durableId="686056771">
    <w:abstractNumId w:val="20"/>
  </w:num>
  <w:num w:numId="27" w16cid:durableId="1603952407">
    <w:abstractNumId w:val="17"/>
  </w:num>
  <w:num w:numId="28" w16cid:durableId="1941840432">
    <w:abstractNumId w:val="15"/>
  </w:num>
  <w:num w:numId="29" w16cid:durableId="1788233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B4"/>
    <w:rsid w:val="00043E1F"/>
    <w:rsid w:val="000776BD"/>
    <w:rsid w:val="0008171B"/>
    <w:rsid w:val="000C0496"/>
    <w:rsid w:val="000C43A5"/>
    <w:rsid w:val="000D1FBB"/>
    <w:rsid w:val="000F0B58"/>
    <w:rsid w:val="00137765"/>
    <w:rsid w:val="00145BC9"/>
    <w:rsid w:val="00156C6C"/>
    <w:rsid w:val="0016412B"/>
    <w:rsid w:val="001705D2"/>
    <w:rsid w:val="001C6E99"/>
    <w:rsid w:val="001D5921"/>
    <w:rsid w:val="001E08C2"/>
    <w:rsid w:val="001E1896"/>
    <w:rsid w:val="001F34CA"/>
    <w:rsid w:val="00222561"/>
    <w:rsid w:val="002274EE"/>
    <w:rsid w:val="0024657B"/>
    <w:rsid w:val="00257EEF"/>
    <w:rsid w:val="00267963"/>
    <w:rsid w:val="00270455"/>
    <w:rsid w:val="0029286F"/>
    <w:rsid w:val="002B48A6"/>
    <w:rsid w:val="00317F0F"/>
    <w:rsid w:val="00326289"/>
    <w:rsid w:val="00326FCE"/>
    <w:rsid w:val="00334E80"/>
    <w:rsid w:val="00340650"/>
    <w:rsid w:val="00351CA4"/>
    <w:rsid w:val="003902F8"/>
    <w:rsid w:val="003D4DA3"/>
    <w:rsid w:val="004711B7"/>
    <w:rsid w:val="00496577"/>
    <w:rsid w:val="004F50F7"/>
    <w:rsid w:val="004F73EB"/>
    <w:rsid w:val="0050328E"/>
    <w:rsid w:val="00510B16"/>
    <w:rsid w:val="00514325"/>
    <w:rsid w:val="0051733E"/>
    <w:rsid w:val="00531979"/>
    <w:rsid w:val="00533513"/>
    <w:rsid w:val="00536923"/>
    <w:rsid w:val="00543856"/>
    <w:rsid w:val="00546CAE"/>
    <w:rsid w:val="00547164"/>
    <w:rsid w:val="00585B22"/>
    <w:rsid w:val="00594F1A"/>
    <w:rsid w:val="005A5317"/>
    <w:rsid w:val="005C391A"/>
    <w:rsid w:val="005D17CC"/>
    <w:rsid w:val="005E0150"/>
    <w:rsid w:val="00610C58"/>
    <w:rsid w:val="00632B6D"/>
    <w:rsid w:val="006456CF"/>
    <w:rsid w:val="00657A60"/>
    <w:rsid w:val="00683C78"/>
    <w:rsid w:val="00692401"/>
    <w:rsid w:val="00697F3C"/>
    <w:rsid w:val="00724E77"/>
    <w:rsid w:val="00731BFE"/>
    <w:rsid w:val="00745462"/>
    <w:rsid w:val="0074747E"/>
    <w:rsid w:val="00786F6C"/>
    <w:rsid w:val="007B5B66"/>
    <w:rsid w:val="007C2688"/>
    <w:rsid w:val="007E0F52"/>
    <w:rsid w:val="007E6534"/>
    <w:rsid w:val="00815A4F"/>
    <w:rsid w:val="00834620"/>
    <w:rsid w:val="008417DA"/>
    <w:rsid w:val="00861085"/>
    <w:rsid w:val="00861B79"/>
    <w:rsid w:val="008629EB"/>
    <w:rsid w:val="00886021"/>
    <w:rsid w:val="00887DB9"/>
    <w:rsid w:val="008C1ED5"/>
    <w:rsid w:val="008C4D7A"/>
    <w:rsid w:val="008D5943"/>
    <w:rsid w:val="008E4A4F"/>
    <w:rsid w:val="008E5947"/>
    <w:rsid w:val="00901F67"/>
    <w:rsid w:val="00920109"/>
    <w:rsid w:val="00987C99"/>
    <w:rsid w:val="009B35B0"/>
    <w:rsid w:val="009F707D"/>
    <w:rsid w:val="00A36958"/>
    <w:rsid w:val="00A5500A"/>
    <w:rsid w:val="00A70D2D"/>
    <w:rsid w:val="00A83933"/>
    <w:rsid w:val="00AC68B4"/>
    <w:rsid w:val="00AD50D1"/>
    <w:rsid w:val="00AE6FE0"/>
    <w:rsid w:val="00AE7AA0"/>
    <w:rsid w:val="00AF1A93"/>
    <w:rsid w:val="00B16B81"/>
    <w:rsid w:val="00B2474A"/>
    <w:rsid w:val="00B60619"/>
    <w:rsid w:val="00B66EA1"/>
    <w:rsid w:val="00B9605A"/>
    <w:rsid w:val="00BA1127"/>
    <w:rsid w:val="00BC1414"/>
    <w:rsid w:val="00BD0CF9"/>
    <w:rsid w:val="00BD570D"/>
    <w:rsid w:val="00BE03BC"/>
    <w:rsid w:val="00C0028B"/>
    <w:rsid w:val="00C17355"/>
    <w:rsid w:val="00C33DD1"/>
    <w:rsid w:val="00C75E1B"/>
    <w:rsid w:val="00C873CD"/>
    <w:rsid w:val="00C942EA"/>
    <w:rsid w:val="00C966E9"/>
    <w:rsid w:val="00CD0AA8"/>
    <w:rsid w:val="00CD518B"/>
    <w:rsid w:val="00CD7409"/>
    <w:rsid w:val="00CE1EFA"/>
    <w:rsid w:val="00D4190C"/>
    <w:rsid w:val="00D5070F"/>
    <w:rsid w:val="00D87856"/>
    <w:rsid w:val="00D96B3F"/>
    <w:rsid w:val="00DB0E70"/>
    <w:rsid w:val="00DC64D9"/>
    <w:rsid w:val="00E1155A"/>
    <w:rsid w:val="00E24DE8"/>
    <w:rsid w:val="00E47185"/>
    <w:rsid w:val="00E50C67"/>
    <w:rsid w:val="00E55EB0"/>
    <w:rsid w:val="00E66AAE"/>
    <w:rsid w:val="00ED1B1F"/>
    <w:rsid w:val="00F03C8B"/>
    <w:rsid w:val="00F04057"/>
    <w:rsid w:val="00F123B6"/>
    <w:rsid w:val="00F201DD"/>
    <w:rsid w:val="00F20385"/>
    <w:rsid w:val="00F539F3"/>
    <w:rsid w:val="00F70ABF"/>
    <w:rsid w:val="00F827FD"/>
    <w:rsid w:val="00F92BF5"/>
    <w:rsid w:val="00F968F5"/>
    <w:rsid w:val="00FC6EF7"/>
    <w:rsid w:val="00FC7110"/>
    <w:rsid w:val="00FE7C44"/>
    <w:rsid w:val="63B9D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3DB4"/>
  <w15:docId w15:val="{DA1A82B3-6598-4DE1-96C7-E785EA16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D17CC"/>
    <w:rPr>
      <w:rFonts w:ascii="Arial" w:hAnsi="Arial" w:eastAsia="Times New Roman" w:cs="Times New Roman"/>
      <w:lang w:bidi="en-US"/>
    </w:rPr>
  </w:style>
  <w:style w:type="paragraph" w:styleId="Heading1">
    <w:name w:val="heading 1"/>
    <w:aliases w:val="Headlines"/>
    <w:basedOn w:val="Normal"/>
    <w:next w:val="Normal"/>
    <w:link w:val="Heading1Char"/>
    <w:autoRedefine/>
    <w:uiPriority w:val="9"/>
    <w:qFormat/>
    <w:rsid w:val="0008171B"/>
    <w:pPr>
      <w:keepNext/>
      <w:keepLines/>
      <w:widowControl/>
      <w:autoSpaceDE/>
      <w:autoSpaceDN/>
      <w:spacing w:after="360" w:line="600" w:lineRule="exact"/>
      <w:outlineLvl w:val="0"/>
    </w:pPr>
    <w:rPr>
      <w:rFonts w:cs="Arial"/>
      <w:color w:val="000000" w:themeColor="text1"/>
      <w:spacing w:val="10"/>
      <w:sz w:val="52"/>
      <w:szCs w:val="36"/>
      <w:lang w:bidi="ar-SA"/>
    </w:rPr>
  </w:style>
  <w:style w:type="paragraph" w:styleId="Heading2">
    <w:name w:val="heading 2"/>
    <w:aliases w:val="Intros"/>
    <w:basedOn w:val="Normal"/>
    <w:link w:val="Heading2Char"/>
    <w:uiPriority w:val="9"/>
    <w:qFormat/>
    <w:rsid w:val="008417DA"/>
    <w:pPr>
      <w:spacing w:line="276" w:lineRule="auto"/>
      <w:outlineLvl w:val="1"/>
    </w:pPr>
    <w:rPr>
      <w:rFonts w:cs="Arial"/>
      <w:sz w:val="28"/>
      <w:szCs w:val="28"/>
      <w:lang w:bidi="ar-SA"/>
    </w:rPr>
  </w:style>
  <w:style w:type="paragraph" w:styleId="Heading3">
    <w:name w:val="heading 3"/>
    <w:basedOn w:val="Normal"/>
    <w:next w:val="Normal"/>
    <w:link w:val="Heading3Char"/>
    <w:uiPriority w:val="9"/>
    <w:unhideWhenUsed/>
    <w:rsid w:val="00D87856"/>
    <w:pPr>
      <w:keepNext/>
      <w:keepLines/>
      <w:widowControl/>
      <w:autoSpaceDE/>
      <w:autoSpaceDN/>
      <w:spacing w:before="40" w:line="276" w:lineRule="auto"/>
      <w:outlineLvl w:val="2"/>
    </w:pPr>
    <w:rPr>
      <w:rFonts w:ascii="Calibri" w:hAnsi="Calibri" w:cs="Calibri"/>
      <w:b/>
      <w:bCs/>
      <w:color w:val="002060"/>
      <w:lang w:bidi="ar-SA"/>
    </w:rPr>
  </w:style>
  <w:style w:type="paragraph" w:styleId="Heading4">
    <w:name w:val="heading 4"/>
    <w:aliases w:val="Subheads"/>
    <w:basedOn w:val="Normal"/>
    <w:next w:val="Normal"/>
    <w:link w:val="Heading4Char"/>
    <w:uiPriority w:val="9"/>
    <w:unhideWhenUsed/>
    <w:qFormat/>
    <w:rsid w:val="000D1FBB"/>
    <w:pPr>
      <w:spacing w:after="120"/>
      <w:outlineLvl w:val="3"/>
    </w:pPr>
    <w:rPr>
      <w:rFonts w:cs="Arial"/>
      <w:b/>
      <w:bCs/>
      <w:sz w:val="20"/>
      <w:szCs w:val="20"/>
      <w:lang w:bidi="ar-SA"/>
    </w:rPr>
  </w:style>
  <w:style w:type="paragraph" w:styleId="Heading5">
    <w:name w:val="heading 5"/>
    <w:basedOn w:val="Normal"/>
    <w:next w:val="Normal"/>
    <w:link w:val="Heading5Char"/>
    <w:uiPriority w:val="9"/>
    <w:semiHidden/>
    <w:unhideWhenUsed/>
    <w:rsid w:val="00156C6C"/>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Points" w:customStyle="1">
    <w:name w:val="Bullet Points"/>
    <w:basedOn w:val="Body"/>
    <w:autoRedefine/>
    <w:qFormat/>
    <w:rsid w:val="001D5921"/>
    <w:pPr>
      <w:numPr>
        <w:numId w:val="24"/>
      </w:numPr>
      <w:spacing w:after="0" w:line="240" w:lineRule="auto"/>
      <w:jc w:val="left"/>
    </w:pPr>
  </w:style>
  <w:style w:type="character" w:styleId="Heading3Char" w:customStyle="1">
    <w:name w:val="Heading 3 Char"/>
    <w:basedOn w:val="DefaultParagraphFont"/>
    <w:link w:val="Heading3"/>
    <w:uiPriority w:val="9"/>
    <w:rsid w:val="00D87856"/>
    <w:rPr>
      <w:rFonts w:ascii="Calibri" w:hAnsi="Calibri" w:eastAsia="Times New Roman" w:cs="Calibri"/>
      <w:b/>
      <w:bCs/>
      <w:color w:val="002060"/>
    </w:rPr>
  </w:style>
  <w:style w:type="character" w:styleId="Heading2Char" w:customStyle="1">
    <w:name w:val="Heading 2 Char"/>
    <w:aliases w:val="Intros Char"/>
    <w:basedOn w:val="DefaultParagraphFont"/>
    <w:link w:val="Heading2"/>
    <w:uiPriority w:val="9"/>
    <w:rsid w:val="008417DA"/>
    <w:rPr>
      <w:rFonts w:ascii="Arial" w:hAnsi="Arial" w:eastAsia="Times New Roman" w:cs="Arial"/>
      <w:sz w:val="28"/>
      <w:szCs w:val="28"/>
    </w:rPr>
  </w:style>
  <w:style w:type="paragraph" w:styleId="NormalWeb">
    <w:name w:val="Normal (Web)"/>
    <w:basedOn w:val="Normal"/>
    <w:uiPriority w:val="99"/>
    <w:semiHidden/>
    <w:unhideWhenUsed/>
    <w:rsid w:val="00F04057"/>
    <w:pPr>
      <w:widowControl/>
      <w:autoSpaceDE/>
      <w:autoSpaceDN/>
      <w:spacing w:before="100" w:beforeAutospacing="1" w:after="100" w:afterAutospacing="1"/>
    </w:pPr>
    <w:rPr>
      <w:rFonts w:asciiTheme="minorHAnsi" w:hAnsiTheme="minorHAnsi"/>
      <w:sz w:val="24"/>
      <w:szCs w:val="24"/>
      <w:lang w:bidi="ar-SA"/>
    </w:rPr>
  </w:style>
  <w:style w:type="character" w:styleId="BookTitle">
    <w:name w:val="Book Title"/>
    <w:basedOn w:val="DefaultParagraphFont"/>
    <w:uiPriority w:val="33"/>
    <w:rsid w:val="00137765"/>
    <w:rPr>
      <w:b/>
      <w:bCs/>
      <w:i/>
      <w:iCs/>
      <w:spacing w:val="5"/>
    </w:rPr>
  </w:style>
  <w:style w:type="paragraph" w:styleId="Body" w:customStyle="1">
    <w:name w:val="Body"/>
    <w:basedOn w:val="Normal"/>
    <w:qFormat/>
    <w:rsid w:val="005D17CC"/>
    <w:pPr>
      <w:widowControl/>
      <w:autoSpaceDE/>
      <w:autoSpaceDN/>
      <w:spacing w:after="225" w:line="276" w:lineRule="auto"/>
      <w:jc w:val="both"/>
    </w:pPr>
    <w:rPr>
      <w:rFonts w:cs="Arial"/>
      <w:color w:val="000000"/>
      <w:sz w:val="20"/>
      <w:szCs w:val="20"/>
      <w:lang w:bidi="ar-SA"/>
    </w:rPr>
  </w:style>
  <w:style w:type="paragraph" w:styleId="Title">
    <w:name w:val="Title"/>
    <w:basedOn w:val="Normal"/>
    <w:next w:val="Normal"/>
    <w:link w:val="TitleChar"/>
    <w:uiPriority w:val="10"/>
    <w:rsid w:val="00137765"/>
    <w:pPr>
      <w:contextualSpacing/>
    </w:pPr>
    <w:rPr>
      <w:rFonts w:asciiTheme="majorHAnsi" w:hAnsiTheme="majorHAnsi" w:eastAsiaTheme="majorEastAsia" w:cstheme="majorBidi"/>
      <w:spacing w:val="-10"/>
      <w:kern w:val="28"/>
      <w:sz w:val="56"/>
      <w:szCs w:val="56"/>
    </w:rPr>
  </w:style>
  <w:style w:type="character" w:styleId="IntenseReference">
    <w:name w:val="Intense Reference"/>
    <w:basedOn w:val="DefaultParagraphFont"/>
    <w:uiPriority w:val="32"/>
    <w:rsid w:val="00137765"/>
    <w:rPr>
      <w:b/>
      <w:bCs/>
      <w:smallCaps/>
      <w:color w:val="4F81BD" w:themeColor="accent1"/>
      <w:spacing w:val="5"/>
    </w:rPr>
  </w:style>
  <w:style w:type="character" w:styleId="SubtleReference">
    <w:name w:val="Subtle Reference"/>
    <w:basedOn w:val="DefaultParagraphFont"/>
    <w:uiPriority w:val="31"/>
    <w:rsid w:val="00137765"/>
    <w:rPr>
      <w:smallCaps/>
      <w:color w:val="5A5A5A" w:themeColor="text1" w:themeTint="A5"/>
    </w:rPr>
  </w:style>
  <w:style w:type="paragraph" w:styleId="ListParagraph">
    <w:name w:val="List Paragraph"/>
    <w:basedOn w:val="Normal"/>
    <w:link w:val="ListParagraphChar"/>
    <w:uiPriority w:val="34"/>
    <w:qFormat/>
    <w:rsid w:val="00137765"/>
    <w:pPr>
      <w:ind w:left="720"/>
      <w:contextualSpacing/>
    </w:pPr>
    <w:rPr>
      <w:rFonts w:asciiTheme="minorHAnsi" w:hAnsiTheme="minorHAnsi"/>
    </w:rPr>
  </w:style>
  <w:style w:type="character" w:styleId="Strong">
    <w:name w:val="Strong"/>
    <w:basedOn w:val="DefaultParagraphFont"/>
    <w:uiPriority w:val="22"/>
    <w:rsid w:val="00137765"/>
    <w:rPr>
      <w:b/>
      <w:bCs/>
    </w:rPr>
  </w:style>
  <w:style w:type="character" w:styleId="PageNumber">
    <w:name w:val="page number"/>
    <w:basedOn w:val="DefaultParagraphFont"/>
    <w:uiPriority w:val="99"/>
    <w:semiHidden/>
    <w:unhideWhenUsed/>
    <w:rsid w:val="0074747E"/>
  </w:style>
  <w:style w:type="character" w:styleId="Heading1Char" w:customStyle="1">
    <w:name w:val="Heading 1 Char"/>
    <w:aliases w:val="Headlines Char"/>
    <w:basedOn w:val="DefaultParagraphFont"/>
    <w:link w:val="Heading1"/>
    <w:uiPriority w:val="9"/>
    <w:rsid w:val="0008171B"/>
    <w:rPr>
      <w:rFonts w:ascii="Arial" w:hAnsi="Arial" w:eastAsia="Times New Roman" w:cs="Arial"/>
      <w:color w:val="000000" w:themeColor="text1"/>
      <w:spacing w:val="10"/>
      <w:sz w:val="52"/>
      <w:szCs w:val="36"/>
    </w:rPr>
  </w:style>
  <w:style w:type="character" w:styleId="TitleChar" w:customStyle="1">
    <w:name w:val="Title Char"/>
    <w:basedOn w:val="DefaultParagraphFont"/>
    <w:link w:val="Title"/>
    <w:uiPriority w:val="10"/>
    <w:rsid w:val="00137765"/>
    <w:rPr>
      <w:rFonts w:asciiTheme="majorHAnsi" w:hAnsiTheme="majorHAnsi" w:eastAsiaTheme="majorEastAsia" w:cstheme="majorBidi"/>
      <w:spacing w:val="-10"/>
      <w:kern w:val="28"/>
      <w:sz w:val="56"/>
      <w:szCs w:val="56"/>
      <w:lang w:bidi="en-US"/>
    </w:rPr>
  </w:style>
  <w:style w:type="paragraph" w:styleId="Subtitle">
    <w:name w:val="Subtitle"/>
    <w:basedOn w:val="Normal"/>
    <w:next w:val="Normal"/>
    <w:link w:val="SubtitleChar"/>
    <w:uiPriority w:val="11"/>
    <w:rsid w:val="00137765"/>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137765"/>
    <w:rPr>
      <w:rFonts w:eastAsiaTheme="minorEastAsia"/>
      <w:color w:val="5A5A5A" w:themeColor="text1" w:themeTint="A5"/>
      <w:spacing w:val="15"/>
      <w:lang w:bidi="en-US"/>
    </w:rPr>
  </w:style>
  <w:style w:type="character" w:styleId="SubtleEmphasis">
    <w:name w:val="Subtle Emphasis"/>
    <w:basedOn w:val="DefaultParagraphFont"/>
    <w:uiPriority w:val="19"/>
    <w:rsid w:val="00137765"/>
    <w:rPr>
      <w:i/>
      <w:iCs/>
      <w:color w:val="404040" w:themeColor="text1" w:themeTint="BF"/>
    </w:rPr>
  </w:style>
  <w:style w:type="paragraph" w:styleId="NoSpacing">
    <w:name w:val="No Spacing"/>
    <w:uiPriority w:val="1"/>
    <w:rsid w:val="00137765"/>
    <w:rPr>
      <w:rFonts w:ascii="Times New Roman" w:hAnsi="Times New Roman" w:eastAsia="Times New Roman" w:cs="Times New Roman"/>
      <w:lang w:bidi="en-US"/>
    </w:rPr>
  </w:style>
  <w:style w:type="character" w:styleId="Heading4Char" w:customStyle="1">
    <w:name w:val="Heading 4 Char"/>
    <w:aliases w:val="Subheads Char"/>
    <w:basedOn w:val="DefaultParagraphFont"/>
    <w:link w:val="Heading4"/>
    <w:uiPriority w:val="9"/>
    <w:rsid w:val="000D1FBB"/>
    <w:rPr>
      <w:rFonts w:ascii="Arial" w:hAnsi="Arial" w:eastAsia="Times New Roman" w:cs="Arial"/>
      <w:b/>
      <w:bCs/>
      <w:sz w:val="20"/>
      <w:szCs w:val="20"/>
    </w:rPr>
  </w:style>
  <w:style w:type="character" w:styleId="Heading5Char" w:customStyle="1">
    <w:name w:val="Heading 5 Char"/>
    <w:basedOn w:val="DefaultParagraphFont"/>
    <w:link w:val="Heading5"/>
    <w:uiPriority w:val="9"/>
    <w:semiHidden/>
    <w:rsid w:val="00156C6C"/>
    <w:rPr>
      <w:rFonts w:asciiTheme="majorHAnsi" w:hAnsiTheme="majorHAnsi" w:eastAsiaTheme="majorEastAsia" w:cstheme="majorBidi"/>
      <w:color w:val="365F91" w:themeColor="accent1" w:themeShade="BF"/>
      <w:lang w:bidi="en-US"/>
    </w:rPr>
  </w:style>
  <w:style w:type="paragraph" w:styleId="BasicParagraph" w:customStyle="1">
    <w:name w:val="[Basic Paragraph]"/>
    <w:basedOn w:val="Normal"/>
    <w:uiPriority w:val="99"/>
    <w:rsid w:val="00E24DE8"/>
    <w:pPr>
      <w:widowControl/>
      <w:adjustRightInd w:val="0"/>
      <w:spacing w:line="288" w:lineRule="auto"/>
      <w:textAlignment w:val="center"/>
    </w:pPr>
    <w:rPr>
      <w:rFonts w:ascii="MinionPro-Regular" w:hAnsi="MinionPro-Regular" w:cs="MinionPro-Regular" w:eastAsiaTheme="minorHAnsi"/>
      <w:color w:val="000000"/>
      <w:sz w:val="24"/>
      <w:szCs w:val="24"/>
      <w:lang w:bidi="ar-SA"/>
    </w:rPr>
  </w:style>
  <w:style w:type="character" w:styleId="Hyperlink">
    <w:name w:val="Hyperlink"/>
    <w:basedOn w:val="DefaultParagraphFont"/>
    <w:uiPriority w:val="99"/>
    <w:unhideWhenUsed/>
    <w:rsid w:val="00E24DE8"/>
    <w:rPr>
      <w:color w:val="0000FF" w:themeColor="hyperlink"/>
      <w:u w:val="single"/>
    </w:rPr>
  </w:style>
  <w:style w:type="character" w:styleId="UnresolvedMention">
    <w:name w:val="Unresolved Mention"/>
    <w:basedOn w:val="DefaultParagraphFont"/>
    <w:uiPriority w:val="99"/>
    <w:semiHidden/>
    <w:unhideWhenUsed/>
    <w:rsid w:val="00E24DE8"/>
    <w:rPr>
      <w:color w:val="605E5C"/>
      <w:shd w:val="clear" w:color="auto" w:fill="E1DFDD"/>
    </w:rPr>
  </w:style>
  <w:style w:type="paragraph" w:styleId="TOC2">
    <w:name w:val="toc 2"/>
    <w:basedOn w:val="Normal"/>
    <w:next w:val="Normal"/>
    <w:autoRedefine/>
    <w:uiPriority w:val="39"/>
    <w:unhideWhenUsed/>
    <w:rsid w:val="00E24DE8"/>
    <w:pPr>
      <w:widowControl/>
      <w:autoSpaceDE/>
      <w:autoSpaceDN/>
      <w:spacing w:before="120" w:line="276" w:lineRule="auto"/>
      <w:ind w:left="220"/>
    </w:pPr>
    <w:rPr>
      <w:rFonts w:asciiTheme="minorHAnsi" w:hAnsiTheme="minorHAnsi" w:eastAsiaTheme="minorHAnsi" w:cstheme="minorHAnsi"/>
      <w:b/>
      <w:bCs/>
      <w:lang w:bidi="ar-SA"/>
    </w:rPr>
  </w:style>
  <w:style w:type="paragraph" w:styleId="HeadersSlugs" w:customStyle="1">
    <w:name w:val="Headers / Slugs"/>
    <w:basedOn w:val="Heading1"/>
    <w:qFormat/>
    <w:rsid w:val="00B2474A"/>
    <w:pPr>
      <w:spacing w:after="160" w:line="240" w:lineRule="auto"/>
    </w:pPr>
    <w:rPr>
      <w:b/>
      <w:sz w:val="24"/>
    </w:rPr>
  </w:style>
  <w:style w:type="paragraph" w:styleId="Header">
    <w:name w:val="header"/>
    <w:basedOn w:val="Normal"/>
    <w:link w:val="HeaderChar"/>
    <w:uiPriority w:val="99"/>
    <w:unhideWhenUsed/>
    <w:rsid w:val="00AD50D1"/>
    <w:pPr>
      <w:tabs>
        <w:tab w:val="center" w:pos="4680"/>
        <w:tab w:val="right" w:pos="9360"/>
      </w:tabs>
    </w:pPr>
    <w:rPr>
      <w:rFonts w:asciiTheme="minorHAnsi" w:hAnsiTheme="minorHAnsi"/>
    </w:rPr>
  </w:style>
  <w:style w:type="character" w:styleId="HeaderChar" w:customStyle="1">
    <w:name w:val="Header Char"/>
    <w:basedOn w:val="DefaultParagraphFont"/>
    <w:link w:val="Header"/>
    <w:uiPriority w:val="99"/>
    <w:rsid w:val="00AD50D1"/>
    <w:rPr>
      <w:rFonts w:eastAsia="Times New Roman" w:cs="Times New Roman"/>
      <w:lang w:bidi="en-US"/>
    </w:rPr>
  </w:style>
  <w:style w:type="paragraph" w:styleId="Footer">
    <w:name w:val="footer"/>
    <w:basedOn w:val="Normal"/>
    <w:link w:val="FooterChar"/>
    <w:uiPriority w:val="99"/>
    <w:unhideWhenUsed/>
    <w:rsid w:val="00546CAE"/>
    <w:pPr>
      <w:widowControl/>
      <w:tabs>
        <w:tab w:val="center" w:pos="4680"/>
        <w:tab w:val="right" w:pos="9360"/>
      </w:tabs>
      <w:autoSpaceDE/>
      <w:autoSpaceDN/>
    </w:pPr>
    <w:rPr>
      <w:rFonts w:asciiTheme="minorHAnsi" w:hAnsiTheme="minorHAnsi" w:eastAsiaTheme="minorEastAsia" w:cstheme="minorBidi"/>
      <w:lang w:eastAsia="zh-CN" w:bidi="ar-SA"/>
    </w:rPr>
  </w:style>
  <w:style w:type="character" w:styleId="FooterChar" w:customStyle="1">
    <w:name w:val="Footer Char"/>
    <w:basedOn w:val="DefaultParagraphFont"/>
    <w:link w:val="Footer"/>
    <w:uiPriority w:val="99"/>
    <w:rsid w:val="00546CAE"/>
    <w:rPr>
      <w:rFonts w:eastAsiaTheme="minorEastAsia"/>
      <w:lang w:eastAsia="zh-CN"/>
    </w:rPr>
  </w:style>
  <w:style w:type="paragraph" w:styleId="Header2" w:customStyle="1">
    <w:name w:val="Header 2"/>
    <w:basedOn w:val="Normal"/>
    <w:autoRedefine/>
    <w:qFormat/>
    <w:rsid w:val="00AC68B4"/>
    <w:pPr>
      <w:spacing w:line="259" w:lineRule="auto"/>
    </w:pPr>
    <w:rPr>
      <w:rFonts w:ascii="Calibri" w:hAnsi="Calibri"/>
      <w:b/>
      <w:bCs/>
      <w:color w:val="002060"/>
      <w:sz w:val="28"/>
      <w:lang w:bidi="ar-SA"/>
    </w:rPr>
  </w:style>
  <w:style w:type="character" w:styleId="ListParagraphChar" w:customStyle="1">
    <w:name w:val="List Paragraph Char"/>
    <w:basedOn w:val="DefaultParagraphFont"/>
    <w:link w:val="ListParagraph"/>
    <w:uiPriority w:val="34"/>
    <w:locked/>
    <w:rsid w:val="00AC68B4"/>
    <w:rPr>
      <w:rFonts w:eastAsia="Times New Roman" w:cs="Times New Roman"/>
      <w:lang w:bidi="en-US"/>
    </w:rPr>
  </w:style>
  <w:style w:type="paragraph" w:styleId="CommentText">
    <w:name w:val="annotation text"/>
    <w:basedOn w:val="Normal"/>
    <w:link w:val="CommentTextChar"/>
    <w:uiPriority w:val="99"/>
    <w:unhideWhenUsed/>
    <w:rsid w:val="00AC68B4"/>
    <w:pPr>
      <w:widowControl/>
      <w:autoSpaceDE/>
      <w:autoSpaceDN/>
    </w:pPr>
    <w:rPr>
      <w:rFonts w:ascii="Calibri" w:hAnsi="Calibri" w:cs="Calibri" w:eastAsiaTheme="minorHAnsi"/>
      <w:sz w:val="20"/>
      <w:szCs w:val="20"/>
      <w:lang w:bidi="ar-SA"/>
    </w:rPr>
  </w:style>
  <w:style w:type="character" w:styleId="CommentTextChar" w:customStyle="1">
    <w:name w:val="Comment Text Char"/>
    <w:basedOn w:val="DefaultParagraphFont"/>
    <w:link w:val="CommentText"/>
    <w:uiPriority w:val="99"/>
    <w:rsid w:val="00AC68B4"/>
    <w:rPr>
      <w:rFonts w:ascii="Calibri" w:hAnsi="Calibri" w:cs="Calibri"/>
      <w:sz w:val="20"/>
      <w:szCs w:val="20"/>
    </w:rPr>
  </w:style>
  <w:style w:type="character" w:styleId="CommentReference">
    <w:name w:val="annotation reference"/>
    <w:basedOn w:val="DefaultParagraphFont"/>
    <w:uiPriority w:val="99"/>
    <w:semiHidden/>
    <w:unhideWhenUsed/>
    <w:rsid w:val="00AC68B4"/>
    <w:rPr>
      <w:sz w:val="16"/>
      <w:szCs w:val="16"/>
    </w:rPr>
  </w:style>
  <w:style w:type="character" w:styleId="normaltextrun" w:customStyle="1">
    <w:name w:val="normaltextrun"/>
    <w:basedOn w:val="DefaultParagraphFont"/>
    <w:rsid w:val="00AC68B4"/>
  </w:style>
  <w:style w:type="character" w:styleId="eop" w:customStyle="1">
    <w:name w:val="eop"/>
    <w:basedOn w:val="DefaultParagraphFont"/>
    <w:rsid w:val="00AC68B4"/>
  </w:style>
  <w:style w:type="paragraph" w:styleId="Revision">
    <w:name w:val="Revision"/>
    <w:hidden/>
    <w:uiPriority w:val="99"/>
    <w:semiHidden/>
    <w:rsid w:val="007E6534"/>
    <w:pPr>
      <w:widowControl/>
      <w:autoSpaceDE/>
      <w:autoSpaceDN/>
    </w:pPr>
    <w:rPr>
      <w:rFonts w:ascii="Arial" w:hAnsi="Arial" w:eastAsia="Times New Roman" w:cs="Times New Roman"/>
      <w:lang w:bidi="en-US"/>
    </w:rPr>
  </w:style>
  <w:style w:type="paragraph" w:styleId="CommentSubject">
    <w:name w:val="annotation subject"/>
    <w:basedOn w:val="CommentText"/>
    <w:next w:val="CommentText"/>
    <w:link w:val="CommentSubjectChar"/>
    <w:uiPriority w:val="99"/>
    <w:semiHidden/>
    <w:unhideWhenUsed/>
    <w:rsid w:val="00594F1A"/>
    <w:pPr>
      <w:widowControl w:val="0"/>
      <w:autoSpaceDE w:val="0"/>
      <w:autoSpaceDN w:val="0"/>
    </w:pPr>
    <w:rPr>
      <w:rFonts w:ascii="Arial" w:hAnsi="Arial" w:eastAsia="Times New Roman" w:cs="Times New Roman"/>
      <w:b/>
      <w:bCs/>
      <w:lang w:bidi="en-US"/>
    </w:rPr>
  </w:style>
  <w:style w:type="character" w:styleId="CommentSubjectChar" w:customStyle="1">
    <w:name w:val="Comment Subject Char"/>
    <w:basedOn w:val="CommentTextChar"/>
    <w:link w:val="CommentSubject"/>
    <w:uiPriority w:val="99"/>
    <w:semiHidden/>
    <w:rsid w:val="00594F1A"/>
    <w:rPr>
      <w:rFonts w:ascii="Arial" w:hAnsi="Arial" w:eastAsia="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371930">
      <w:bodyDiv w:val="1"/>
      <w:marLeft w:val="0"/>
      <w:marRight w:val="0"/>
      <w:marTop w:val="0"/>
      <w:marBottom w:val="0"/>
      <w:divBdr>
        <w:top w:val="none" w:sz="0" w:space="0" w:color="auto"/>
        <w:left w:val="none" w:sz="0" w:space="0" w:color="auto"/>
        <w:bottom w:val="none" w:sz="0" w:space="0" w:color="auto"/>
        <w:right w:val="none" w:sz="0" w:space="0" w:color="auto"/>
      </w:divBdr>
    </w:div>
    <w:div w:id="614941367">
      <w:bodyDiv w:val="1"/>
      <w:marLeft w:val="0"/>
      <w:marRight w:val="0"/>
      <w:marTop w:val="0"/>
      <w:marBottom w:val="0"/>
      <w:divBdr>
        <w:top w:val="none" w:sz="0" w:space="0" w:color="auto"/>
        <w:left w:val="none" w:sz="0" w:space="0" w:color="auto"/>
        <w:bottom w:val="none" w:sz="0" w:space="0" w:color="auto"/>
        <w:right w:val="none" w:sz="0" w:space="0" w:color="auto"/>
      </w:divBdr>
      <w:divsChild>
        <w:div w:id="1768378338">
          <w:marLeft w:val="432"/>
          <w:marRight w:val="216"/>
          <w:marTop w:val="0"/>
          <w:marBottom w:val="0"/>
          <w:divBdr>
            <w:top w:val="none" w:sz="0" w:space="0" w:color="auto"/>
            <w:left w:val="none" w:sz="0" w:space="0" w:color="auto"/>
            <w:bottom w:val="none" w:sz="0" w:space="0" w:color="auto"/>
            <w:right w:val="none" w:sz="0" w:space="0" w:color="auto"/>
          </w:divBdr>
        </w:div>
        <w:div w:id="530845204">
          <w:marLeft w:val="216"/>
          <w:marRight w:val="432"/>
          <w:marTop w:val="0"/>
          <w:marBottom w:val="0"/>
          <w:divBdr>
            <w:top w:val="none" w:sz="0" w:space="0" w:color="auto"/>
            <w:left w:val="none" w:sz="0" w:space="0" w:color="auto"/>
            <w:bottom w:val="none" w:sz="0" w:space="0" w:color="auto"/>
            <w:right w:val="none" w:sz="0" w:space="0" w:color="auto"/>
          </w:divBdr>
        </w:div>
      </w:divsChild>
    </w:div>
    <w:div w:id="1510485762">
      <w:bodyDiv w:val="1"/>
      <w:marLeft w:val="0"/>
      <w:marRight w:val="0"/>
      <w:marTop w:val="0"/>
      <w:marBottom w:val="0"/>
      <w:divBdr>
        <w:top w:val="none" w:sz="0" w:space="0" w:color="auto"/>
        <w:left w:val="none" w:sz="0" w:space="0" w:color="auto"/>
        <w:bottom w:val="none" w:sz="0" w:space="0" w:color="auto"/>
        <w:right w:val="none" w:sz="0" w:space="0" w:color="auto"/>
      </w:divBdr>
    </w:div>
    <w:div w:id="1700352302">
      <w:bodyDiv w:val="1"/>
      <w:marLeft w:val="0"/>
      <w:marRight w:val="0"/>
      <w:marTop w:val="0"/>
      <w:marBottom w:val="0"/>
      <w:divBdr>
        <w:top w:val="none" w:sz="0" w:space="0" w:color="auto"/>
        <w:left w:val="none" w:sz="0" w:space="0" w:color="auto"/>
        <w:bottom w:val="none" w:sz="0" w:space="0" w:color="auto"/>
        <w:right w:val="none" w:sz="0" w:space="0" w:color="auto"/>
      </w:divBdr>
      <w:divsChild>
        <w:div w:id="1713310831">
          <w:marLeft w:val="432"/>
          <w:marRight w:val="216"/>
          <w:marTop w:val="0"/>
          <w:marBottom w:val="0"/>
          <w:divBdr>
            <w:top w:val="none" w:sz="0" w:space="0" w:color="auto"/>
            <w:left w:val="none" w:sz="0" w:space="0" w:color="auto"/>
            <w:bottom w:val="none" w:sz="0" w:space="0" w:color="auto"/>
            <w:right w:val="none" w:sz="0" w:space="0" w:color="auto"/>
          </w:divBdr>
        </w:div>
        <w:div w:id="2006322957">
          <w:marLeft w:val="216"/>
          <w:marRight w:val="432"/>
          <w:marTop w:val="0"/>
          <w:marBottom w:val="0"/>
          <w:divBdr>
            <w:top w:val="none" w:sz="0" w:space="0" w:color="auto"/>
            <w:left w:val="none" w:sz="0" w:space="0" w:color="auto"/>
            <w:bottom w:val="none" w:sz="0" w:space="0" w:color="auto"/>
            <w:right w:val="none" w:sz="0" w:space="0" w:color="auto"/>
          </w:divBdr>
        </w:div>
      </w:divsChild>
    </w:div>
    <w:div w:id="173789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0BB94E03D05438A8FA5925DBE12CA" ma:contentTypeVersion="18" ma:contentTypeDescription="Create a new document." ma:contentTypeScope="" ma:versionID="792fdf53a55fff9881a21ea8323c5fed">
  <xsd:schema xmlns:xsd="http://www.w3.org/2001/XMLSchema" xmlns:xs="http://www.w3.org/2001/XMLSchema" xmlns:p="http://schemas.microsoft.com/office/2006/metadata/properties" xmlns:ns1="http://schemas.microsoft.com/sharepoint/v3" xmlns:ns2="bc345e2f-c454-4e8c-b48e-e496fd5664fc" xmlns:ns3="f64517e2-33c5-4f78-9781-ca05e1c3f037" xmlns:ns4="54069256-e3ab-48b9-a674-d348a06f1628" targetNamespace="http://schemas.microsoft.com/office/2006/metadata/properties" ma:root="true" ma:fieldsID="eef67c3f7ccd58ae1ccc245514780ce0" ns1:_="" ns2:_="" ns3:_="" ns4:_="">
    <xsd:import namespace="http://schemas.microsoft.com/sharepoint/v3"/>
    <xsd:import namespace="bc345e2f-c454-4e8c-b48e-e496fd5664fc"/>
    <xsd:import namespace="f64517e2-33c5-4f78-9781-ca05e1c3f037"/>
    <xsd:import namespace="54069256-e3ab-48b9-a674-d348a06f1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45e2f-c454-4e8c-b48e-e496fd56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517e2-33c5-4f78-9781-ca05e1c3f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69256-e3ab-48b9-a674-d348a06f16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8cfd0e2-9c29-4d43-a991-8ed7b5533abd}" ma:internalName="TaxCatchAll" ma:showField="CatchAllData" ma:web="54069256-e3ab-48b9-a674-d348a06f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069256-e3ab-48b9-a674-d348a06f1628" xsi:nil="true"/>
    <_ip_UnifiedCompliancePolicyProperties xmlns="http://schemas.microsoft.com/sharepoint/v3" xsi:nil="true"/>
    <lcf76f155ced4ddcb4097134ff3c332f xmlns="bc345e2f-c454-4e8c-b48e-e496fd5664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0FBFA-14B6-486E-A73D-46ACA2BBF554}"/>
</file>

<file path=customXml/itemProps2.xml><?xml version="1.0" encoding="utf-8"?>
<ds:datastoreItem xmlns:ds="http://schemas.openxmlformats.org/officeDocument/2006/customXml" ds:itemID="{714E2C4E-C931-8F48-A176-4F9F40362AFA}">
  <ds:schemaRefs>
    <ds:schemaRef ds:uri="http://schemas.openxmlformats.org/officeDocument/2006/bibliography"/>
  </ds:schemaRefs>
</ds:datastoreItem>
</file>

<file path=customXml/itemProps3.xml><?xml version="1.0" encoding="utf-8"?>
<ds:datastoreItem xmlns:ds="http://schemas.openxmlformats.org/officeDocument/2006/customXml" ds:itemID="{09D80B0A-A45B-41D7-BDC4-90EDC66A6D29}">
  <ds:schemaRefs>
    <ds:schemaRef ds:uri="http://schemas.microsoft.com/office/infopath/2007/PartnerControls"/>
    <ds:schemaRef ds:uri="http://purl.org/dc/terms/"/>
    <ds:schemaRef ds:uri="http://schemas.openxmlformats.org/package/2006/metadata/core-properties"/>
    <ds:schemaRef ds:uri="http://www.w3.org/XML/1998/namespace"/>
    <ds:schemaRef ds:uri="f64517e2-33c5-4f78-9781-ca05e1c3f037"/>
    <ds:schemaRef ds:uri="http://purl.org/dc/elements/1.1/"/>
    <ds:schemaRef ds:uri="http://schemas.microsoft.com/office/2006/documentManagement/types"/>
    <ds:schemaRef ds:uri="54069256-e3ab-48b9-a674-d348a06f1628"/>
    <ds:schemaRef ds:uri="http://schemas.microsoft.com/sharepoint/v3"/>
    <ds:schemaRef ds:uri="bc345e2f-c454-4e8c-b48e-e496fd5664f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3305002-E261-414E-9BA6-7AC92BB752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Carla Taylor-Badawu</dc:creator>
  <lastModifiedBy>Carla Taylor-Badawu</lastModifiedBy>
  <revision>3</revision>
  <dcterms:created xsi:type="dcterms:W3CDTF">2025-02-20T00:37:00.0000000Z</dcterms:created>
  <dcterms:modified xsi:type="dcterms:W3CDTF">2025-02-20T01:11:15.6566086Z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Adobe InDesign CC 14.0 (Macintosh)</vt:lpwstr>
  </property>
  <property fmtid="{D5CDD505-2E9C-101B-9397-08002B2CF9AE}" pid="4" name="LastSaved">
    <vt:filetime>2019-01-16T00:00:00Z</vt:filetime>
  </property>
  <property fmtid="{D5CDD505-2E9C-101B-9397-08002B2CF9AE}" pid="5" name="ContentTypeId">
    <vt:lpwstr>0x010100AC60BB94E03D05438A8FA5925DBE12CA</vt:lpwstr>
  </property>
  <property fmtid="{D5CDD505-2E9C-101B-9397-08002B2CF9AE}" pid="6" name="MediaServiceImageTags">
    <vt:lpwstr/>
  </property>
</Properties>
</file>