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EE31" w14:textId="5451C536" w:rsidR="009A7767" w:rsidRDefault="005D67A5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079D47" wp14:editId="75F0281A">
                <wp:simplePos x="0" y="0"/>
                <wp:positionH relativeFrom="column">
                  <wp:posOffset>63500</wp:posOffset>
                </wp:positionH>
                <wp:positionV relativeFrom="paragraph">
                  <wp:posOffset>621665</wp:posOffset>
                </wp:positionV>
                <wp:extent cx="6508750" cy="45720"/>
                <wp:effectExtent l="0" t="0" r="25400" b="30480"/>
                <wp:wrapNone/>
                <wp:docPr id="13452411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FD1C8" id="Straight Connector 1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48.95pt" to="517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2dxqgEAAKIDAAAOAAAAZHJzL2Uyb0RvYy54bWysU8tu2zAQvBfoPxC815KNOgkEyzkkSC9B&#10;GiRN7zS1tAjwBZK15L/vcmUrRVMUaJELwcfO7M7scnM9WsMOEJP2ruXLRc0ZOOk77fYtf/l29+mK&#10;s5SF64TxDlp+hMSvtx8/bIbQwMr33nQQGZK41Ayh5X3OoamqJHuwIi18AIePykcrMh7jvuqiGJDd&#10;mmpV1xfV4GMXopeQEt7eTo98S/xKgcxflUqQmWk51pZpjbTuylptN6LZRxF6LU9liP+owgrtMOlM&#10;dSuyYD+ifkNltYw+eZUX0tvKK6UlkAZUs6x/U/PciwCkBc1JYbYpvR+tfDjcuMeINgwhNSk8xqJi&#10;VNEyZXT4jj0lXVgpG8m242wbjJlJvLxY11eXa3RX4tvn9eWKbK0mmkIXYspfwFtWNi032hVVohGH&#10;+5QxNYaeQ/DwWgjt8tFACTbuCRTTHSacSqIZgRsT2UFgd4WU4PKydBT5KLrAlDZmBtaU9q/AU3yB&#10;As3Pv4BnBGX2Ls9gq52Pf8qex3PJaoo/OzDpLhbsfHekFpE1OAik8DS0ZdJ+PRP89WttfwIAAP//&#10;AwBQSwMEFAAGAAgAAAAhAHYcZcrcAAAACgEAAA8AAABkcnMvZG93bnJldi54bWxMj0FPwzAMhe9I&#10;/IfISNxY2sGAlaYTYuyMGEzaMWtMW0icKsm29t/jnuDm52c9f69cDc6KE4bYeVKQzzIQSLU3HTUK&#10;Pj82N48gYtJktPWECkaMsKouL0pdGH+mdzxtUyM4hGKhFbQp9YWUsW7R6TjzPRJ7Xz44nViGRpqg&#10;zxzurJxn2b10uiP+0OoeX1qsf7ZHpyDa5vV73I1+PTdhXG/iHt/yO6Wur4bnJxAJh/R3DBM+o0PF&#10;TAd/JBOFZZ1xlaRg+bAEMfnZ7YI3h2la5CCrUv6vUP0CAAD//wMAUEsBAi0AFAAGAAgAAAAhALaD&#10;OJL+AAAA4QEAABMAAAAAAAAAAAAAAAAAAAAAAFtDb250ZW50X1R5cGVzXS54bWxQSwECLQAUAAYA&#10;CAAAACEAOP0h/9YAAACUAQAACwAAAAAAAAAAAAAAAAAvAQAAX3JlbHMvLnJlbHNQSwECLQAUAAYA&#10;CAAAACEATddncaoBAACiAwAADgAAAAAAAAAAAAAAAAAuAgAAZHJzL2Uyb0RvYy54bWxQSwECLQAU&#10;AAYACAAAACEAdhxlytwAAAAKAQAADwAAAAAAAAAAAAAAAAAEBAAAZHJzL2Rvd25yZXYueG1sUEsF&#10;BgAAAAAEAAQA8wAAAA0FAAAAAA==&#10;" strokecolor="#4579b8 [3044]"/>
            </w:pict>
          </mc:Fallback>
        </mc:AlternateContent>
      </w:r>
      <w:r w:rsidR="00B46DAF">
        <w:rPr>
          <w:noProof/>
          <w:sz w:val="20"/>
        </w:rPr>
        <w:drawing>
          <wp:inline distT="0" distB="0" distL="0" distR="0" wp14:anchorId="1D8CEE43" wp14:editId="1D8CEE44">
            <wp:extent cx="1701036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3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EE32" w14:textId="03C064F3" w:rsidR="009A7767" w:rsidRPr="00F119D0" w:rsidRDefault="00754221" w:rsidP="005D67A5">
      <w:pPr>
        <w:pStyle w:val="BodyText"/>
        <w:spacing w:before="190"/>
        <w:ind w:left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389A8773" w:rsidRPr="411A4757">
        <w:rPr>
          <w:rFonts w:ascii="Arial" w:hAnsi="Arial" w:cs="Arial"/>
          <w:b/>
          <w:bCs/>
        </w:rPr>
        <w:t xml:space="preserve"> </w:t>
      </w:r>
      <w:r w:rsidR="005D67A5" w:rsidRPr="411A4757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</w:p>
    <w:p w14:paraId="767C0AC7" w14:textId="77777777" w:rsidR="00F119D0" w:rsidRDefault="00F119D0">
      <w:pPr>
        <w:pStyle w:val="Title"/>
        <w:rPr>
          <w:rFonts w:ascii="Arial" w:hAnsi="Arial" w:cs="Arial"/>
          <w:color w:val="002269"/>
          <w:sz w:val="28"/>
          <w:szCs w:val="28"/>
        </w:rPr>
      </w:pPr>
    </w:p>
    <w:p w14:paraId="1D8CEE33" w14:textId="72C2F91A" w:rsidR="009A7767" w:rsidRPr="00F119D0" w:rsidRDefault="00B46DAF">
      <w:pPr>
        <w:pStyle w:val="Title"/>
        <w:rPr>
          <w:rFonts w:ascii="Arial" w:hAnsi="Arial" w:cs="Arial"/>
          <w:color w:val="0D0D0D" w:themeColor="text1" w:themeTint="F2"/>
          <w:sz w:val="28"/>
          <w:szCs w:val="28"/>
        </w:rPr>
      </w:pP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ICBA</w:t>
      </w:r>
      <w:r w:rsidRPr="00F119D0">
        <w:rPr>
          <w:rFonts w:ascii="Arial" w:hAnsi="Arial" w:cs="Arial"/>
          <w:color w:val="0D0D0D" w:themeColor="text1" w:themeTint="F2"/>
          <w:spacing w:val="-5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Legislative</w:t>
      </w:r>
      <w:r w:rsidRPr="00F119D0">
        <w:rPr>
          <w:rFonts w:ascii="Arial" w:hAnsi="Arial" w:cs="Arial"/>
          <w:color w:val="0D0D0D" w:themeColor="text1" w:themeTint="F2"/>
          <w:spacing w:val="-4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Update:</w:t>
      </w:r>
      <w:r w:rsidRPr="00F119D0">
        <w:rPr>
          <w:rFonts w:ascii="Arial" w:hAnsi="Arial" w:cs="Arial"/>
          <w:color w:val="0D0D0D" w:themeColor="text1" w:themeTint="F2"/>
          <w:spacing w:val="-4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The</w:t>
      </w:r>
      <w:r w:rsidRPr="00F119D0">
        <w:rPr>
          <w:rFonts w:ascii="Arial" w:hAnsi="Arial" w:cs="Arial"/>
          <w:color w:val="0D0D0D" w:themeColor="text1" w:themeTint="F2"/>
          <w:spacing w:val="-5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Access</w:t>
      </w:r>
      <w:r w:rsidRPr="00F119D0">
        <w:rPr>
          <w:rFonts w:ascii="Arial" w:hAnsi="Arial" w:cs="Arial"/>
          <w:color w:val="0D0D0D" w:themeColor="text1" w:themeTint="F2"/>
          <w:spacing w:val="-7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to</w:t>
      </w:r>
      <w:r w:rsidRPr="00F119D0">
        <w:rPr>
          <w:rFonts w:ascii="Arial" w:hAnsi="Arial" w:cs="Arial"/>
          <w:color w:val="0D0D0D" w:themeColor="text1" w:themeTint="F2"/>
          <w:spacing w:val="-4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Credit</w:t>
      </w:r>
      <w:r w:rsidRPr="00F119D0">
        <w:rPr>
          <w:rFonts w:ascii="Arial" w:hAnsi="Arial" w:cs="Arial"/>
          <w:color w:val="0D0D0D" w:themeColor="text1" w:themeTint="F2"/>
          <w:spacing w:val="-4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for</w:t>
      </w:r>
      <w:r w:rsidRPr="00F119D0">
        <w:rPr>
          <w:rFonts w:ascii="Arial" w:hAnsi="Arial" w:cs="Arial"/>
          <w:color w:val="0D0D0D" w:themeColor="text1" w:themeTint="F2"/>
          <w:spacing w:val="-4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our</w:t>
      </w:r>
      <w:r w:rsidRPr="00F119D0">
        <w:rPr>
          <w:rFonts w:ascii="Arial" w:hAnsi="Arial" w:cs="Arial"/>
          <w:color w:val="0D0D0D" w:themeColor="text1" w:themeTint="F2"/>
          <w:spacing w:val="-7"/>
          <w:sz w:val="28"/>
          <w:szCs w:val="28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8"/>
          <w:szCs w:val="28"/>
        </w:rPr>
        <w:t>Rural Economy (ACRE) Act</w:t>
      </w:r>
    </w:p>
    <w:p w14:paraId="1D8CEE34" w14:textId="77777777" w:rsidR="009A7767" w:rsidRPr="00F119D0" w:rsidRDefault="00B46DAF">
      <w:pPr>
        <w:pStyle w:val="Heading1"/>
        <w:spacing w:before="252"/>
        <w:rPr>
          <w:rFonts w:ascii="Arial" w:hAnsi="Arial" w:cs="Arial"/>
          <w:color w:val="0D0D0D" w:themeColor="text1" w:themeTint="F2"/>
          <w:sz w:val="24"/>
          <w:szCs w:val="24"/>
        </w:rPr>
      </w:pP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Need</w:t>
      </w:r>
      <w:r w:rsidRPr="00F119D0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for</w:t>
      </w:r>
      <w:r w:rsidRPr="00F119D0">
        <w:rPr>
          <w:rFonts w:ascii="Arial" w:hAnsi="Arial" w:cs="Arial"/>
          <w:color w:val="0D0D0D" w:themeColor="text1" w:themeTint="F2"/>
          <w:spacing w:val="-1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Legislation</w:t>
      </w:r>
    </w:p>
    <w:p w14:paraId="1D8CEE35" w14:textId="4448BFC2" w:rsidR="009A7767" w:rsidRPr="00F119D0" w:rsidRDefault="00B46DAF">
      <w:pPr>
        <w:pStyle w:val="BodyText"/>
        <w:spacing w:before="313" w:line="276" w:lineRule="auto"/>
        <w:ind w:left="100" w:right="122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ACRE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is</w:t>
      </w:r>
      <w:r w:rsidR="00BE4316">
        <w:rPr>
          <w:rFonts w:ascii="Arial" w:hAnsi="Arial" w:cs="Arial"/>
          <w:color w:val="0D0D0D" w:themeColor="text1" w:themeTint="F2"/>
        </w:rPr>
        <w:t xml:space="preserve"> soon-to-be-reintroduced</w:t>
      </w:r>
      <w:r w:rsidR="00A362FE">
        <w:rPr>
          <w:rFonts w:ascii="Arial" w:hAnsi="Arial" w:cs="Arial"/>
          <w:color w:val="0D0D0D" w:themeColor="text1" w:themeTint="F2"/>
        </w:rPr>
        <w:t xml:space="preserve"> </w:t>
      </w:r>
      <w:r w:rsidR="00A362FE" w:rsidRPr="00D51879">
        <w:rPr>
          <w:rFonts w:ascii="Arial" w:hAnsi="Arial" w:cs="Arial"/>
          <w:color w:val="0D0D0D" w:themeColor="text1" w:themeTint="F2"/>
        </w:rPr>
        <w:t>bipartisan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legislation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sponsored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by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Rep.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Randy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Feenstra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 xml:space="preserve">(R-IA) and Sen. Jerry Moran (R-KS). The </w:t>
      </w:r>
      <w:r w:rsidR="00C7684F">
        <w:rPr>
          <w:rFonts w:ascii="Arial" w:hAnsi="Arial" w:cs="Arial"/>
          <w:color w:val="0D0D0D" w:themeColor="text1" w:themeTint="F2"/>
        </w:rPr>
        <w:t>legislation</w:t>
      </w:r>
      <w:r w:rsidR="00893F66">
        <w:rPr>
          <w:rFonts w:ascii="Arial" w:hAnsi="Arial" w:cs="Arial"/>
          <w:color w:val="0D0D0D" w:themeColor="text1" w:themeTint="F2"/>
        </w:rPr>
        <w:t>, which had broad, bipartisan cosponsorship in the last Congress,</w:t>
      </w:r>
      <w:r w:rsidRPr="00F119D0">
        <w:rPr>
          <w:rFonts w:ascii="Arial" w:hAnsi="Arial" w:cs="Arial"/>
          <w:color w:val="0D0D0D" w:themeColor="text1" w:themeTint="F2"/>
        </w:rPr>
        <w:t xml:space="preserve"> would </w:t>
      </w:r>
      <w:r w:rsidR="7861C5D8" w:rsidRPr="00F119D0">
        <w:rPr>
          <w:rFonts w:ascii="Arial" w:hAnsi="Arial" w:cs="Arial"/>
          <w:color w:val="0D0D0D" w:themeColor="text1" w:themeTint="F2"/>
        </w:rPr>
        <w:t xml:space="preserve">lower the </w:t>
      </w:r>
      <w:r w:rsidRPr="00F119D0">
        <w:rPr>
          <w:rFonts w:ascii="Arial" w:hAnsi="Arial" w:cs="Arial"/>
          <w:color w:val="0D0D0D" w:themeColor="text1" w:themeTint="F2"/>
        </w:rPr>
        <w:t xml:space="preserve">cost </w:t>
      </w:r>
      <w:r w:rsidR="5EE7735B" w:rsidRPr="00F119D0">
        <w:rPr>
          <w:rFonts w:ascii="Arial" w:hAnsi="Arial" w:cs="Arial"/>
          <w:color w:val="0D0D0D" w:themeColor="text1" w:themeTint="F2"/>
        </w:rPr>
        <w:t xml:space="preserve">of </w:t>
      </w:r>
      <w:r w:rsidRPr="00F119D0">
        <w:rPr>
          <w:rFonts w:ascii="Arial" w:hAnsi="Arial" w:cs="Arial"/>
          <w:color w:val="0D0D0D" w:themeColor="text1" w:themeTint="F2"/>
        </w:rPr>
        <w:t xml:space="preserve">credit for farmers, ranchers, and rural homeowners while creating a more </w:t>
      </w:r>
      <w:r w:rsidR="36141017" w:rsidRPr="00F119D0">
        <w:rPr>
          <w:rFonts w:ascii="Arial" w:hAnsi="Arial" w:cs="Arial"/>
          <w:color w:val="0D0D0D" w:themeColor="text1" w:themeTint="F2"/>
        </w:rPr>
        <w:t>equitable</w:t>
      </w:r>
      <w:r w:rsidRPr="00F119D0">
        <w:rPr>
          <w:rFonts w:ascii="Arial" w:hAnsi="Arial" w:cs="Arial"/>
          <w:color w:val="0D0D0D" w:themeColor="text1" w:themeTint="F2"/>
        </w:rPr>
        <w:t xml:space="preserve"> and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competitive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rural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lending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environment. Community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banks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compete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with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tax-exempt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lenders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rural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 xml:space="preserve">America </w:t>
      </w:r>
      <w:r w:rsidR="00C7684F">
        <w:rPr>
          <w:rFonts w:ascii="Arial" w:hAnsi="Arial" w:cs="Arial"/>
          <w:color w:val="0D0D0D" w:themeColor="text1" w:themeTint="F2"/>
        </w:rPr>
        <w:t>that</w:t>
      </w:r>
      <w:r w:rsidR="439F4E49" w:rsidRPr="00F119D0">
        <w:rPr>
          <w:rFonts w:ascii="Arial" w:hAnsi="Arial" w:cs="Arial"/>
          <w:color w:val="0D0D0D" w:themeColor="text1" w:themeTint="F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already enjoy this benefit. ACRE would promote the viability of farmers and ranchers, rural communities, and community banks in a challenging economic environment.</w:t>
      </w:r>
    </w:p>
    <w:p w14:paraId="1D8CEE36" w14:textId="51EC69E0" w:rsidR="009A7767" w:rsidRPr="00F119D0" w:rsidRDefault="00B46DAF">
      <w:pPr>
        <w:pStyle w:val="BodyText"/>
        <w:spacing w:before="213" w:line="276" w:lineRule="auto"/>
        <w:ind w:left="100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Farmers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and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ranchers,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as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well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as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rural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communities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built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around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agriculture,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must</w:t>
      </w:r>
      <w:r w:rsidRPr="00F119D0">
        <w:rPr>
          <w:rFonts w:ascii="Arial" w:hAnsi="Arial" w:cs="Arial"/>
          <w:color w:val="0D0D0D" w:themeColor="text1" w:themeTint="F2"/>
          <w:spacing w:val="-6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have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access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to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affordable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 xml:space="preserve">credit to survive and prosper. Challenges faced by rural communities include </w:t>
      </w:r>
      <w:r w:rsidR="00A362FE" w:rsidRPr="00D51879">
        <w:rPr>
          <w:rFonts w:ascii="Arial" w:hAnsi="Arial" w:cs="Arial"/>
          <w:color w:val="0D0D0D" w:themeColor="text1" w:themeTint="F2"/>
        </w:rPr>
        <w:t>volatile</w:t>
      </w:r>
      <w:r w:rsidRPr="00F119D0">
        <w:rPr>
          <w:rFonts w:ascii="Arial" w:hAnsi="Arial" w:cs="Arial"/>
          <w:color w:val="0D0D0D" w:themeColor="text1" w:themeTint="F2"/>
        </w:rPr>
        <w:t xml:space="preserve"> weather, fluctuating commodity prices,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rising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input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costs,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A362FE" w:rsidRPr="00D51879">
        <w:rPr>
          <w:rFonts w:ascii="Arial" w:hAnsi="Arial" w:cs="Arial"/>
          <w:color w:val="0D0D0D" w:themeColor="text1" w:themeTint="F2"/>
          <w:spacing w:val="-2"/>
        </w:rPr>
        <w:t>elevated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interest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rates,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and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tight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cash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flows.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Profit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margins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are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often</w:t>
      </w:r>
      <w:r w:rsidR="00A362FE">
        <w:rPr>
          <w:rFonts w:ascii="Arial" w:hAnsi="Arial" w:cs="Arial"/>
          <w:color w:val="0D0D0D" w:themeColor="text1" w:themeTint="F2"/>
        </w:rPr>
        <w:t xml:space="preserve"> </w:t>
      </w:r>
      <w:r w:rsidR="00A362FE" w:rsidRPr="001D612B">
        <w:rPr>
          <w:rFonts w:ascii="Arial" w:hAnsi="Arial" w:cs="Arial"/>
          <w:color w:val="0D0D0D" w:themeColor="text1" w:themeTint="F2"/>
        </w:rPr>
        <w:t>thin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and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working capital can be depleted quickly. Young, beginning, and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small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(YBS)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farmers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and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ranchers often have little equity and are deemed less credit worthy.</w:t>
      </w:r>
    </w:p>
    <w:p w14:paraId="1D8CEE37" w14:textId="77777777" w:rsidR="009A7767" w:rsidRPr="00F119D0" w:rsidRDefault="00B46DAF">
      <w:pPr>
        <w:pStyle w:val="BodyText"/>
        <w:spacing w:before="252" w:line="276" w:lineRule="auto"/>
        <w:ind w:left="100" w:right="164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The rural housing market also faces unique challenges. Rural properties are often irregular, fewer in number, or mixed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use,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making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it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difficult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to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find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comparable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sales (“comps”)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for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residential</w:t>
      </w:r>
      <w:r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appraisals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as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required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by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Fannie Mae and Freddie Mac.</w:t>
      </w:r>
    </w:p>
    <w:p w14:paraId="1D8CEE38" w14:textId="77777777" w:rsidR="009A7767" w:rsidRPr="00F119D0" w:rsidRDefault="00B46DAF">
      <w:pPr>
        <w:pStyle w:val="Heading1"/>
        <w:spacing w:before="250"/>
        <w:rPr>
          <w:rFonts w:ascii="Arial" w:hAnsi="Arial" w:cs="Arial"/>
          <w:color w:val="0D0D0D" w:themeColor="text1" w:themeTint="F2"/>
          <w:sz w:val="24"/>
          <w:szCs w:val="24"/>
        </w:rPr>
      </w:pP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Key</w:t>
      </w:r>
      <w:r w:rsidRPr="00F119D0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Provisions</w:t>
      </w:r>
      <w:r w:rsidRPr="00F119D0">
        <w:rPr>
          <w:rFonts w:ascii="Arial" w:hAnsi="Arial" w:cs="Arial"/>
          <w:color w:val="0D0D0D" w:themeColor="text1" w:themeTint="F2"/>
          <w:spacing w:val="-6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of</w:t>
      </w:r>
      <w:r w:rsidRPr="00F119D0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the</w:t>
      </w:r>
      <w:r w:rsidRPr="00F119D0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ACRE</w:t>
      </w:r>
      <w:r w:rsidRPr="00F119D0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 xml:space="preserve"> Act</w:t>
      </w:r>
    </w:p>
    <w:p w14:paraId="1D8CEE39" w14:textId="21F33157" w:rsidR="009A7767" w:rsidRPr="00F119D0" w:rsidRDefault="00B46DAF">
      <w:pPr>
        <w:pStyle w:val="ListParagraph"/>
        <w:numPr>
          <w:ilvl w:val="0"/>
          <w:numId w:val="2"/>
        </w:numPr>
        <w:tabs>
          <w:tab w:val="left" w:pos="460"/>
        </w:tabs>
        <w:spacing w:before="314"/>
        <w:ind w:hanging="360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Exempts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interest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3913C093" w:rsidRPr="00F119D0">
        <w:rPr>
          <w:rFonts w:ascii="Arial" w:hAnsi="Arial" w:cs="Arial"/>
          <w:color w:val="0D0D0D" w:themeColor="text1" w:themeTint="F2"/>
          <w:spacing w:val="-5"/>
        </w:rPr>
        <w:t xml:space="preserve">income </w:t>
      </w:r>
      <w:r w:rsidRPr="00F119D0">
        <w:rPr>
          <w:rFonts w:ascii="Arial" w:hAnsi="Arial" w:cs="Arial"/>
          <w:color w:val="0D0D0D" w:themeColor="text1" w:themeTint="F2"/>
        </w:rPr>
        <w:t>on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loans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secured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by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agricultural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real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estate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from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pacing w:val="-2"/>
        </w:rPr>
        <w:t>taxation.</w:t>
      </w:r>
    </w:p>
    <w:p w14:paraId="1D8CEE3A" w14:textId="35D44769" w:rsidR="009A7767" w:rsidRPr="00F119D0" w:rsidRDefault="00B46DAF">
      <w:pPr>
        <w:pStyle w:val="ListParagraph"/>
        <w:numPr>
          <w:ilvl w:val="0"/>
          <w:numId w:val="2"/>
        </w:numPr>
        <w:tabs>
          <w:tab w:val="left" w:pos="460"/>
        </w:tabs>
        <w:spacing w:before="35" w:line="273" w:lineRule="auto"/>
        <w:ind w:right="745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Exempts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interest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3449D040" w:rsidRPr="00F119D0">
        <w:rPr>
          <w:rFonts w:ascii="Arial" w:hAnsi="Arial" w:cs="Arial"/>
          <w:color w:val="0D0D0D" w:themeColor="text1" w:themeTint="F2"/>
          <w:spacing w:val="-5"/>
        </w:rPr>
        <w:t xml:space="preserve">income </w:t>
      </w:r>
      <w:r w:rsidRPr="00F119D0">
        <w:rPr>
          <w:rFonts w:ascii="Arial" w:hAnsi="Arial" w:cs="Arial"/>
          <w:color w:val="0D0D0D" w:themeColor="text1" w:themeTint="F2"/>
        </w:rPr>
        <w:t>on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residential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mortgages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</w:t>
      </w:r>
      <w:r w:rsidR="00A362FE">
        <w:rPr>
          <w:rFonts w:ascii="Arial" w:hAnsi="Arial" w:cs="Arial"/>
          <w:color w:val="0D0D0D" w:themeColor="text1" w:themeTint="F2"/>
        </w:rPr>
        <w:t xml:space="preserve"> </w:t>
      </w:r>
      <w:r w:rsidR="00A362FE" w:rsidRPr="001D612B">
        <w:rPr>
          <w:rFonts w:ascii="Arial" w:hAnsi="Arial" w:cs="Arial"/>
          <w:color w:val="0D0D0D" w:themeColor="text1" w:themeTint="F2"/>
        </w:rPr>
        <w:t>towns</w:t>
      </w:r>
      <w:r w:rsidR="001D612B">
        <w:rPr>
          <w:rFonts w:ascii="Arial" w:hAnsi="Arial" w:cs="Arial"/>
          <w:color w:val="0D0D0D" w:themeColor="text1" w:themeTint="F2"/>
          <w:spacing w:val="-3"/>
        </w:rPr>
        <w:t xml:space="preserve"> of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less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than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2,500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population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from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 xml:space="preserve">taxation, </w:t>
      </w:r>
      <w:r w:rsidR="00A362FE" w:rsidRPr="00BF7C85">
        <w:rPr>
          <w:rFonts w:ascii="Arial" w:hAnsi="Arial" w:cs="Arial"/>
          <w:color w:val="0D0D0D" w:themeColor="text1" w:themeTint="F2"/>
        </w:rPr>
        <w:t>if</w:t>
      </w:r>
      <w:r w:rsidRPr="00F119D0">
        <w:rPr>
          <w:rFonts w:ascii="Arial" w:hAnsi="Arial" w:cs="Arial"/>
          <w:color w:val="0D0D0D" w:themeColor="text1" w:themeTint="F2"/>
        </w:rPr>
        <w:t xml:space="preserve"> the home is </w:t>
      </w:r>
      <w:r w:rsidR="00A362FE" w:rsidRPr="00BF7C85">
        <w:rPr>
          <w:rFonts w:ascii="Arial" w:hAnsi="Arial" w:cs="Arial"/>
          <w:color w:val="0D0D0D" w:themeColor="text1" w:themeTint="F2"/>
        </w:rPr>
        <w:t>a</w:t>
      </w:r>
      <w:r w:rsidRPr="00F119D0">
        <w:rPr>
          <w:rFonts w:ascii="Arial" w:hAnsi="Arial" w:cs="Arial"/>
          <w:color w:val="0D0D0D" w:themeColor="text1" w:themeTint="F2"/>
        </w:rPr>
        <w:t xml:space="preserve"> </w:t>
      </w:r>
      <w:r w:rsidR="1CFEAAEC" w:rsidRPr="00F119D0">
        <w:rPr>
          <w:rFonts w:ascii="Arial" w:hAnsi="Arial" w:cs="Arial"/>
          <w:color w:val="0D0D0D" w:themeColor="text1" w:themeTint="F2"/>
        </w:rPr>
        <w:t xml:space="preserve">borrower’s </w:t>
      </w:r>
      <w:r w:rsidRPr="00F119D0">
        <w:rPr>
          <w:rFonts w:ascii="Arial" w:hAnsi="Arial" w:cs="Arial"/>
          <w:color w:val="0D0D0D" w:themeColor="text1" w:themeTint="F2"/>
        </w:rPr>
        <w:t>primary residence and does not exceed $750,000 in value.</w:t>
      </w:r>
    </w:p>
    <w:p w14:paraId="1D8CEE3B" w14:textId="77777777" w:rsidR="009A7767" w:rsidRPr="00F119D0" w:rsidRDefault="009A7767">
      <w:pPr>
        <w:pStyle w:val="BodyText"/>
        <w:spacing w:before="42"/>
        <w:ind w:left="0"/>
        <w:rPr>
          <w:rFonts w:ascii="Arial" w:hAnsi="Arial" w:cs="Arial"/>
          <w:color w:val="0D0D0D" w:themeColor="text1" w:themeTint="F2"/>
        </w:rPr>
      </w:pPr>
    </w:p>
    <w:p w14:paraId="1D8CEE3C" w14:textId="77777777" w:rsidR="009A7767" w:rsidRPr="00F119D0" w:rsidRDefault="00B46DAF">
      <w:pPr>
        <w:pStyle w:val="Heading1"/>
        <w:rPr>
          <w:rFonts w:ascii="Arial" w:hAnsi="Arial" w:cs="Arial"/>
          <w:color w:val="0D0D0D" w:themeColor="text1" w:themeTint="F2"/>
          <w:sz w:val="24"/>
          <w:szCs w:val="24"/>
        </w:rPr>
      </w:pP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Key</w:t>
      </w:r>
      <w:r w:rsidRPr="00F119D0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z w:val="24"/>
          <w:szCs w:val="24"/>
        </w:rPr>
        <w:t>Talking</w:t>
      </w:r>
      <w:r w:rsidRPr="00F119D0">
        <w:rPr>
          <w:rFonts w:ascii="Arial" w:hAnsi="Arial" w:cs="Arial"/>
          <w:color w:val="0D0D0D" w:themeColor="text1" w:themeTint="F2"/>
          <w:spacing w:val="-1"/>
          <w:sz w:val="24"/>
          <w:szCs w:val="24"/>
        </w:rPr>
        <w:t xml:space="preserve"> </w:t>
      </w:r>
      <w:r w:rsidRPr="00F119D0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Points</w:t>
      </w:r>
    </w:p>
    <w:p w14:paraId="1D8CEE3D" w14:textId="114145EB" w:rsidR="009A7767" w:rsidRPr="00F119D0" w:rsidRDefault="00B46DAF">
      <w:pPr>
        <w:pStyle w:val="ListParagraph"/>
        <w:numPr>
          <w:ilvl w:val="0"/>
          <w:numId w:val="1"/>
        </w:numPr>
        <w:tabs>
          <w:tab w:val="left" w:pos="460"/>
        </w:tabs>
        <w:spacing w:before="311"/>
        <w:ind w:hanging="360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Please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cosponsor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2FBE79AD" w:rsidRPr="00F119D0">
        <w:rPr>
          <w:rFonts w:ascii="Arial" w:hAnsi="Arial" w:cs="Arial"/>
          <w:color w:val="0D0D0D" w:themeColor="text1" w:themeTint="F2"/>
          <w:spacing w:val="-3"/>
        </w:rPr>
        <w:t xml:space="preserve">the </w:t>
      </w:r>
      <w:r w:rsidRPr="00F119D0">
        <w:rPr>
          <w:rFonts w:ascii="Arial" w:hAnsi="Arial" w:cs="Arial"/>
          <w:color w:val="0D0D0D" w:themeColor="text1" w:themeTint="F2"/>
        </w:rPr>
        <w:t>ACRE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Act and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advocate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for</w:t>
      </w:r>
      <w:r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its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inclusion</w:t>
      </w:r>
      <w:r w:rsidRPr="00F119D0">
        <w:rPr>
          <w:rFonts w:ascii="Arial" w:hAnsi="Arial" w:cs="Arial"/>
          <w:color w:val="0D0D0D" w:themeColor="text1" w:themeTint="F2"/>
          <w:spacing w:val="-6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in</w:t>
      </w:r>
      <w:r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a</w:t>
      </w:r>
      <w:r w:rsidR="00234A71">
        <w:rPr>
          <w:rFonts w:ascii="Arial" w:hAnsi="Arial" w:cs="Arial"/>
          <w:color w:val="0D0D0D" w:themeColor="text1" w:themeTint="F2"/>
        </w:rPr>
        <w:t xml:space="preserve"> 2025</w:t>
      </w:r>
      <w:r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tax</w:t>
      </w:r>
      <w:r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Pr="00F119D0">
        <w:rPr>
          <w:rFonts w:ascii="Arial" w:hAnsi="Arial" w:cs="Arial"/>
          <w:color w:val="0D0D0D" w:themeColor="text1" w:themeTint="F2"/>
        </w:rPr>
        <w:t>package</w:t>
      </w:r>
      <w:r w:rsidR="340C0694" w:rsidRPr="00F119D0">
        <w:rPr>
          <w:rFonts w:ascii="Arial" w:hAnsi="Arial" w:cs="Arial"/>
          <w:color w:val="0D0D0D" w:themeColor="text1" w:themeTint="F2"/>
        </w:rPr>
        <w:t xml:space="preserve">. </w:t>
      </w:r>
    </w:p>
    <w:p w14:paraId="1D8CEE3E" w14:textId="1103EB45" w:rsidR="009A7767" w:rsidRPr="00F119D0" w:rsidRDefault="32667630">
      <w:pPr>
        <w:pStyle w:val="ListParagraph"/>
        <w:numPr>
          <w:ilvl w:val="0"/>
          <w:numId w:val="1"/>
        </w:numPr>
        <w:tabs>
          <w:tab w:val="left" w:pos="460"/>
        </w:tabs>
        <w:spacing w:before="38"/>
        <w:ind w:hanging="360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  <w:spacing w:val="-5"/>
        </w:rPr>
        <w:t>ACRE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provides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opportunities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for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lower</w:t>
      </w:r>
      <w:r w:rsidR="00B46DAF" w:rsidRPr="00F119D0">
        <w:rPr>
          <w:rFonts w:ascii="Arial" w:hAnsi="Arial" w:cs="Arial"/>
          <w:color w:val="0D0D0D" w:themeColor="text1" w:themeTint="F2"/>
          <w:spacing w:val="-6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interest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rates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for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farmers,</w:t>
      </w:r>
      <w:r w:rsidR="00B46DAF" w:rsidRPr="00F119D0">
        <w:rPr>
          <w:rFonts w:ascii="Arial" w:hAnsi="Arial" w:cs="Arial"/>
          <w:color w:val="0D0D0D" w:themeColor="text1" w:themeTint="F2"/>
          <w:spacing w:val="-6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ranchers,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and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789B409E" w:rsidRPr="00F119D0">
        <w:rPr>
          <w:rFonts w:ascii="Arial" w:hAnsi="Arial" w:cs="Arial"/>
          <w:color w:val="0D0D0D" w:themeColor="text1" w:themeTint="F2"/>
          <w:spacing w:val="-3"/>
        </w:rPr>
        <w:t xml:space="preserve">rural 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>homeowners.</w:t>
      </w:r>
    </w:p>
    <w:p w14:paraId="1D8CEE3F" w14:textId="53532844" w:rsidR="009A7767" w:rsidRPr="00F119D0" w:rsidRDefault="709B834A">
      <w:pPr>
        <w:pStyle w:val="ListParagraph"/>
        <w:numPr>
          <w:ilvl w:val="0"/>
          <w:numId w:val="1"/>
        </w:numPr>
        <w:tabs>
          <w:tab w:val="left" w:pos="460"/>
        </w:tabs>
        <w:spacing w:before="38" w:line="273" w:lineRule="auto"/>
        <w:ind w:right="139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ACRE a</w:t>
      </w:r>
      <w:r w:rsidR="00B46DAF" w:rsidRPr="00F119D0">
        <w:rPr>
          <w:rFonts w:ascii="Arial" w:hAnsi="Arial" w:cs="Arial"/>
          <w:color w:val="0D0D0D" w:themeColor="text1" w:themeTint="F2"/>
        </w:rPr>
        <w:t>ssist</w:t>
      </w:r>
      <w:r w:rsidR="251E7FCB" w:rsidRPr="00F119D0">
        <w:rPr>
          <w:rFonts w:ascii="Arial" w:hAnsi="Arial" w:cs="Arial"/>
          <w:color w:val="0D0D0D" w:themeColor="text1" w:themeTint="F2"/>
        </w:rPr>
        <w:t>s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those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seeking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to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remain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on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the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farm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or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ranch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or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acquire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home</w:t>
      </w:r>
      <w:r w:rsidR="00B46DAF" w:rsidRPr="00F119D0">
        <w:rPr>
          <w:rFonts w:ascii="Arial" w:hAnsi="Arial" w:cs="Arial"/>
          <w:color w:val="0D0D0D" w:themeColor="text1" w:themeTint="F2"/>
          <w:spacing w:val="-3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in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rural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communities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by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lowering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 xml:space="preserve">their </w:t>
      </w:r>
      <w:r w:rsidR="12A91BB5" w:rsidRPr="00F119D0">
        <w:rPr>
          <w:rFonts w:ascii="Arial" w:hAnsi="Arial" w:cs="Arial"/>
          <w:color w:val="0D0D0D" w:themeColor="text1" w:themeTint="F2"/>
        </w:rPr>
        <w:t xml:space="preserve">interest rates and therefore their </w:t>
      </w:r>
      <w:r w:rsidR="00B46DAF" w:rsidRPr="00F119D0">
        <w:rPr>
          <w:rFonts w:ascii="Arial" w:hAnsi="Arial" w:cs="Arial"/>
          <w:color w:val="0D0D0D" w:themeColor="text1" w:themeTint="F2"/>
        </w:rPr>
        <w:t>loan costs.</w:t>
      </w:r>
    </w:p>
    <w:p w14:paraId="1D8CEE40" w14:textId="535A40BA" w:rsidR="009A7767" w:rsidRPr="00F119D0" w:rsidRDefault="1329D36E">
      <w:pPr>
        <w:pStyle w:val="ListParagraph"/>
        <w:numPr>
          <w:ilvl w:val="0"/>
          <w:numId w:val="1"/>
        </w:numPr>
        <w:tabs>
          <w:tab w:val="left" w:pos="460"/>
        </w:tabs>
        <w:spacing w:line="273" w:lineRule="auto"/>
        <w:ind w:right="115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ACRE o</w:t>
      </w:r>
      <w:r w:rsidR="00B46DAF" w:rsidRPr="00F119D0">
        <w:rPr>
          <w:rFonts w:ascii="Arial" w:hAnsi="Arial" w:cs="Arial"/>
          <w:color w:val="0D0D0D" w:themeColor="text1" w:themeTint="F2"/>
        </w:rPr>
        <w:t>ffer</w:t>
      </w:r>
      <w:r w:rsidR="4DB5D177" w:rsidRPr="00F119D0">
        <w:rPr>
          <w:rFonts w:ascii="Arial" w:hAnsi="Arial" w:cs="Arial"/>
          <w:color w:val="0D0D0D" w:themeColor="text1" w:themeTint="F2"/>
        </w:rPr>
        <w:t>s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community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banks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greater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flexibility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to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work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with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farmers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and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ranchers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who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may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have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trouble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servicing their debt or are YBS borrowers with little equity.</w:t>
      </w:r>
    </w:p>
    <w:p w14:paraId="1D8CEE41" w14:textId="1FC6F0A3" w:rsidR="009A7767" w:rsidRPr="00F119D0" w:rsidRDefault="27397BAB">
      <w:pPr>
        <w:pStyle w:val="ListParagraph"/>
        <w:numPr>
          <w:ilvl w:val="0"/>
          <w:numId w:val="1"/>
        </w:numPr>
        <w:tabs>
          <w:tab w:val="left" w:pos="460"/>
        </w:tabs>
        <w:spacing w:line="273" w:lineRule="auto"/>
        <w:ind w:right="418"/>
        <w:rPr>
          <w:rFonts w:ascii="Arial" w:hAnsi="Arial" w:cs="Arial"/>
          <w:color w:val="0D0D0D" w:themeColor="text1" w:themeTint="F2"/>
        </w:rPr>
      </w:pPr>
      <w:r w:rsidRPr="00F119D0">
        <w:rPr>
          <w:rFonts w:ascii="Arial" w:hAnsi="Arial" w:cs="Arial"/>
          <w:color w:val="0D0D0D" w:themeColor="text1" w:themeTint="F2"/>
        </w:rPr>
        <w:t>ACRE g</w:t>
      </w:r>
      <w:r w:rsidR="00B46DAF" w:rsidRPr="00F119D0">
        <w:rPr>
          <w:rFonts w:ascii="Arial" w:hAnsi="Arial" w:cs="Arial"/>
          <w:color w:val="0D0D0D" w:themeColor="text1" w:themeTint="F2"/>
        </w:rPr>
        <w:t>ive</w:t>
      </w:r>
      <w:r w:rsidR="5015529A" w:rsidRPr="00F119D0">
        <w:rPr>
          <w:rFonts w:ascii="Arial" w:hAnsi="Arial" w:cs="Arial"/>
          <w:color w:val="0D0D0D" w:themeColor="text1" w:themeTint="F2"/>
        </w:rPr>
        <w:t>s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lenders</w:t>
      </w:r>
      <w:r w:rsidR="00B46DAF" w:rsidRPr="00F119D0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strong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incentive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to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remain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in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the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rural</w:t>
      </w:r>
      <w:r w:rsidR="00B46DAF" w:rsidRPr="00F119D0">
        <w:rPr>
          <w:rFonts w:ascii="Arial" w:hAnsi="Arial" w:cs="Arial"/>
          <w:color w:val="0D0D0D" w:themeColor="text1" w:themeTint="F2"/>
          <w:spacing w:val="-1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farming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and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housing</w:t>
      </w:r>
      <w:r w:rsidR="00B46DAF" w:rsidRPr="00F119D0">
        <w:rPr>
          <w:rFonts w:ascii="Arial" w:hAnsi="Arial" w:cs="Arial"/>
          <w:color w:val="0D0D0D" w:themeColor="text1" w:themeTint="F2"/>
          <w:spacing w:val="-5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markets,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thereby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boosting</w:t>
      </w:r>
      <w:r w:rsidR="00B46DAF" w:rsidRPr="00F119D0">
        <w:rPr>
          <w:rFonts w:ascii="Arial" w:hAnsi="Arial" w:cs="Arial"/>
          <w:color w:val="0D0D0D" w:themeColor="text1" w:themeTint="F2"/>
          <w:spacing w:val="-2"/>
        </w:rPr>
        <w:t xml:space="preserve"> </w:t>
      </w:r>
      <w:r w:rsidR="00B46DAF" w:rsidRPr="00F119D0">
        <w:rPr>
          <w:rFonts w:ascii="Arial" w:hAnsi="Arial" w:cs="Arial"/>
          <w:color w:val="0D0D0D" w:themeColor="text1" w:themeTint="F2"/>
        </w:rPr>
        <w:t>local economic activity and access to credit.</w:t>
      </w:r>
    </w:p>
    <w:p w14:paraId="1D8CEE42" w14:textId="77777777" w:rsidR="009A7767" w:rsidRDefault="00B46DAF">
      <w:pPr>
        <w:pStyle w:val="BodyText"/>
        <w:spacing w:before="194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D8CEE45" wp14:editId="1D8CEE46">
            <wp:simplePos x="0" y="0"/>
            <wp:positionH relativeFrom="page">
              <wp:posOffset>685800</wp:posOffset>
            </wp:positionH>
            <wp:positionV relativeFrom="paragraph">
              <wp:posOffset>284467</wp:posOffset>
            </wp:positionV>
            <wp:extent cx="6381738" cy="45262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38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7767">
      <w:type w:val="continuous"/>
      <w:pgSz w:w="12240" w:h="15840"/>
      <w:pgMar w:top="72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A3EF5"/>
    <w:multiLevelType w:val="hybridMultilevel"/>
    <w:tmpl w:val="162E6724"/>
    <w:lvl w:ilvl="0" w:tplc="33FA6DBA">
      <w:numFmt w:val="bullet"/>
      <w:lvlText w:val="•"/>
      <w:lvlJc w:val="left"/>
      <w:pPr>
        <w:ind w:left="460" w:hanging="361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1E784C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2" w:tplc="69963BE6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726AD13C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4" w:tplc="918E5D72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73E82EB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22009ADE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CC707DA6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8" w:tplc="E114728C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F9C2A4B"/>
    <w:multiLevelType w:val="hybridMultilevel"/>
    <w:tmpl w:val="8F402F56"/>
    <w:lvl w:ilvl="0" w:tplc="4C4C7184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52FD28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2" w:tplc="AA2270E0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CF42926C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4" w:tplc="B3F437FA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DC2C21E4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80247E6E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9E281454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8" w:tplc="575A8C8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num w:numId="1" w16cid:durableId="133765894">
    <w:abstractNumId w:val="0"/>
  </w:num>
  <w:num w:numId="2" w16cid:durableId="128315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67"/>
    <w:rsid w:val="001D612B"/>
    <w:rsid w:val="00234A71"/>
    <w:rsid w:val="00465CBE"/>
    <w:rsid w:val="00495058"/>
    <w:rsid w:val="004B3B70"/>
    <w:rsid w:val="004C3774"/>
    <w:rsid w:val="005D67A5"/>
    <w:rsid w:val="00687F51"/>
    <w:rsid w:val="00740F0B"/>
    <w:rsid w:val="00754221"/>
    <w:rsid w:val="008300AD"/>
    <w:rsid w:val="0087307B"/>
    <w:rsid w:val="00893F66"/>
    <w:rsid w:val="008C2820"/>
    <w:rsid w:val="009A7767"/>
    <w:rsid w:val="009C0940"/>
    <w:rsid w:val="009C6D8C"/>
    <w:rsid w:val="00A362FE"/>
    <w:rsid w:val="00AE776A"/>
    <w:rsid w:val="00B10DEC"/>
    <w:rsid w:val="00B46DAF"/>
    <w:rsid w:val="00BE033B"/>
    <w:rsid w:val="00BE4316"/>
    <w:rsid w:val="00BF7C85"/>
    <w:rsid w:val="00C7684F"/>
    <w:rsid w:val="00CD1D25"/>
    <w:rsid w:val="00D013A8"/>
    <w:rsid w:val="00D3697B"/>
    <w:rsid w:val="00D51879"/>
    <w:rsid w:val="00D95CDE"/>
    <w:rsid w:val="00EB452D"/>
    <w:rsid w:val="00F119D0"/>
    <w:rsid w:val="00F827FD"/>
    <w:rsid w:val="00FA4FD8"/>
    <w:rsid w:val="0770D960"/>
    <w:rsid w:val="07A811E9"/>
    <w:rsid w:val="0BF38BDA"/>
    <w:rsid w:val="0BFEB158"/>
    <w:rsid w:val="0DC8FFA7"/>
    <w:rsid w:val="0F0CBF5C"/>
    <w:rsid w:val="10D2227B"/>
    <w:rsid w:val="1108B9A2"/>
    <w:rsid w:val="12A91BB5"/>
    <w:rsid w:val="1329D36E"/>
    <w:rsid w:val="1CFEAAEC"/>
    <w:rsid w:val="1F2BBE43"/>
    <w:rsid w:val="251E7FCB"/>
    <w:rsid w:val="2727BB35"/>
    <w:rsid w:val="27397BAB"/>
    <w:rsid w:val="27ED9112"/>
    <w:rsid w:val="2FBE79AD"/>
    <w:rsid w:val="32667630"/>
    <w:rsid w:val="340C0694"/>
    <w:rsid w:val="3449D040"/>
    <w:rsid w:val="34E9C5DC"/>
    <w:rsid w:val="36141017"/>
    <w:rsid w:val="389A8773"/>
    <w:rsid w:val="3913C093"/>
    <w:rsid w:val="3A65B012"/>
    <w:rsid w:val="3E14632B"/>
    <w:rsid w:val="3E73B9DC"/>
    <w:rsid w:val="411A4757"/>
    <w:rsid w:val="439F4E49"/>
    <w:rsid w:val="495A1A6C"/>
    <w:rsid w:val="4DB5D177"/>
    <w:rsid w:val="5015529A"/>
    <w:rsid w:val="5A98868F"/>
    <w:rsid w:val="5AB93CAD"/>
    <w:rsid w:val="5EE7735B"/>
    <w:rsid w:val="66F099CA"/>
    <w:rsid w:val="709B834A"/>
    <w:rsid w:val="71DE9FB8"/>
    <w:rsid w:val="7861C5D8"/>
    <w:rsid w:val="789B409E"/>
    <w:rsid w:val="7C0A97DA"/>
    <w:rsid w:val="7DA3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EE31"/>
  <w15:docId w15:val="{B1FF7437-72FF-4B58-A494-7DA750E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4069256-e3ab-48b9-a674-d348a06f1628" xsi:nil="true"/>
    <_ip_UnifiedCompliancePolicyProperties xmlns="http://schemas.microsoft.com/sharepoint/v3" xsi:nil="true"/>
    <lcf76f155ced4ddcb4097134ff3c332f xmlns="bc345e2f-c454-4e8c-b48e-e496fd566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BB94E03D05438A8FA5925DBE12CA" ma:contentTypeVersion="18" ma:contentTypeDescription="Create a new document." ma:contentTypeScope="" ma:versionID="792fdf53a55fff9881a21ea8323c5fed">
  <xsd:schema xmlns:xsd="http://www.w3.org/2001/XMLSchema" xmlns:xs="http://www.w3.org/2001/XMLSchema" xmlns:p="http://schemas.microsoft.com/office/2006/metadata/properties" xmlns:ns1="http://schemas.microsoft.com/sharepoint/v3" xmlns:ns2="bc345e2f-c454-4e8c-b48e-e496fd5664fc" xmlns:ns3="f64517e2-33c5-4f78-9781-ca05e1c3f037" xmlns:ns4="54069256-e3ab-48b9-a674-d348a06f1628" targetNamespace="http://schemas.microsoft.com/office/2006/metadata/properties" ma:root="true" ma:fieldsID="eef67c3f7ccd58ae1ccc245514780ce0" ns1:_="" ns2:_="" ns3:_="" ns4:_="">
    <xsd:import namespace="http://schemas.microsoft.com/sharepoint/v3"/>
    <xsd:import namespace="bc345e2f-c454-4e8c-b48e-e496fd5664fc"/>
    <xsd:import namespace="f64517e2-33c5-4f78-9781-ca05e1c3f037"/>
    <xsd:import namespace="54069256-e3ab-48b9-a674-d348a06f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5e2f-c454-4e8c-b48e-e496fd566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17e2-33c5-4f78-9781-ca05e1c3f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9256-e3ab-48b9-a674-d348a06f16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8cfd0e2-9c29-4d43-a991-8ed7b5533abd}" ma:internalName="TaxCatchAll" ma:showField="CatchAllData" ma:web="54069256-e3ab-48b9-a674-d348a06f1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F26EE-C794-4F70-9147-0A49A577F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6BB48-27C1-4E78-B154-8AE0411B1097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4069256-e3ab-48b9-a674-d348a06f1628"/>
    <ds:schemaRef ds:uri="f64517e2-33c5-4f78-9781-ca05e1c3f037"/>
    <ds:schemaRef ds:uri="bc345e2f-c454-4e8c-b48e-e496fd5664fc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94F052-DB75-4FDA-AF62-463BD63D2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345e2f-c454-4e8c-b48e-e496fd5664fc"/>
    <ds:schemaRef ds:uri="f64517e2-33c5-4f78-9781-ca05e1c3f037"/>
    <ds:schemaRef ds:uri="54069256-e3ab-48b9-a674-d348a06f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Marks</dc:creator>
  <cp:lastModifiedBy>Carla Taylor-Badawu</cp:lastModifiedBy>
  <cp:revision>2</cp:revision>
  <dcterms:created xsi:type="dcterms:W3CDTF">2025-02-20T00:30:00Z</dcterms:created>
  <dcterms:modified xsi:type="dcterms:W3CDTF">2025-02-20T00:30:00Z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0x010100AC60BB94E03D05438A8FA5925DBE12CA</vt:lpwstr>
  </property>
  <property fmtid="{D5CDD505-2E9C-101B-9397-08002B2CF9AE}" pid="7" name="MediaServiceImageTags">
    <vt:lpwstr/>
  </property>
</Properties>
</file>